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1E" w:rsidRPr="00F5229D" w:rsidRDefault="0045591E" w:rsidP="0045591E">
      <w:r>
        <w:rPr>
          <w:noProof/>
          <w:sz w:val="22"/>
          <w:szCs w:val="22"/>
        </w:rPr>
        <w:drawing>
          <wp:inline distT="0" distB="0" distL="0" distR="0">
            <wp:extent cx="879447" cy="73152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1737" cy="733425"/>
                    </a:xfrm>
                    <a:prstGeom prst="rect">
                      <a:avLst/>
                    </a:prstGeom>
                    <a:noFill/>
                    <a:ln w="9525">
                      <a:noFill/>
                      <a:miter lim="800000"/>
                      <a:headEnd/>
                      <a:tailEnd/>
                    </a:ln>
                  </pic:spPr>
                </pic:pic>
              </a:graphicData>
            </a:graphic>
          </wp:inline>
        </w:drawing>
      </w:r>
      <w:r w:rsidRPr="00F5229D">
        <w:rPr>
          <w:sz w:val="22"/>
          <w:szCs w:val="22"/>
        </w:rPr>
        <w:t xml:space="preserve"> </w:t>
      </w:r>
      <w:r w:rsidRPr="002629E7">
        <w:rPr>
          <w:sz w:val="22"/>
          <w:szCs w:val="22"/>
        </w:rPr>
        <w:t>ΕΘΝΙΚΗ ΣΥΝΟΜΟΣΠΟΝΔΙΑ ΕΛΛΗΝΙΚΟΥ ΕΜΠΟΡΙΟΥ</w:t>
      </w:r>
    </w:p>
    <w:p w:rsidR="006C3E3D" w:rsidRDefault="006C3E3D" w:rsidP="001B6B6D">
      <w:pPr>
        <w:shd w:val="clear" w:color="auto" w:fill="FFFFFF"/>
        <w:ind w:left="-142"/>
        <w:rPr>
          <w:b/>
          <w:sz w:val="26"/>
          <w:szCs w:val="26"/>
        </w:rPr>
      </w:pPr>
    </w:p>
    <w:p w:rsidR="00C5641A" w:rsidRDefault="00C5641A" w:rsidP="001B6B6D">
      <w:pPr>
        <w:shd w:val="clear" w:color="auto" w:fill="FFFFFF"/>
        <w:ind w:left="-142"/>
        <w:rPr>
          <w:b/>
          <w:sz w:val="26"/>
          <w:szCs w:val="26"/>
        </w:rPr>
      </w:pPr>
    </w:p>
    <w:p w:rsidR="00B345F5" w:rsidRPr="00B345F5" w:rsidRDefault="006C3E3D" w:rsidP="006C3E3D">
      <w:pPr>
        <w:shd w:val="clear" w:color="auto" w:fill="FFFFFF"/>
        <w:ind w:left="-142"/>
        <w:jc w:val="center"/>
        <w:rPr>
          <w:b/>
          <w:sz w:val="26"/>
          <w:szCs w:val="26"/>
        </w:rPr>
      </w:pPr>
      <w:r>
        <w:rPr>
          <w:b/>
          <w:sz w:val="26"/>
          <w:szCs w:val="26"/>
        </w:rPr>
        <w:t xml:space="preserve">«Αποτίμηση ΙΝΕΜΥ-ΕΣΕΕ για την </w:t>
      </w:r>
      <w:r w:rsidR="000E74D8">
        <w:rPr>
          <w:b/>
          <w:sz w:val="26"/>
          <w:szCs w:val="26"/>
        </w:rPr>
        <w:t xml:space="preserve">κίνηση στην </w:t>
      </w:r>
      <w:r>
        <w:rPr>
          <w:b/>
          <w:sz w:val="26"/>
          <w:szCs w:val="26"/>
        </w:rPr>
        <w:t xml:space="preserve">εορταστική αγορά </w:t>
      </w:r>
      <w:r w:rsidR="00B345F5">
        <w:rPr>
          <w:b/>
          <w:sz w:val="26"/>
          <w:szCs w:val="26"/>
        </w:rPr>
        <w:t xml:space="preserve">και </w:t>
      </w:r>
      <w:r>
        <w:rPr>
          <w:b/>
          <w:sz w:val="26"/>
          <w:szCs w:val="26"/>
        </w:rPr>
        <w:t>εκτ</w:t>
      </w:r>
      <w:r w:rsidR="0013624F">
        <w:rPr>
          <w:b/>
          <w:sz w:val="26"/>
          <w:szCs w:val="26"/>
        </w:rPr>
        <w:t xml:space="preserve">ιμήσεις για </w:t>
      </w:r>
      <w:r>
        <w:rPr>
          <w:b/>
          <w:sz w:val="26"/>
          <w:szCs w:val="26"/>
        </w:rPr>
        <w:t>τ</w:t>
      </w:r>
      <w:r w:rsidR="0013624F">
        <w:rPr>
          <w:b/>
          <w:sz w:val="26"/>
          <w:szCs w:val="26"/>
        </w:rPr>
        <w:t>ις</w:t>
      </w:r>
      <w:r>
        <w:rPr>
          <w:b/>
          <w:sz w:val="26"/>
          <w:szCs w:val="26"/>
        </w:rPr>
        <w:t xml:space="preserve"> </w:t>
      </w:r>
      <w:r w:rsidR="00B345F5">
        <w:rPr>
          <w:b/>
          <w:sz w:val="26"/>
          <w:szCs w:val="26"/>
        </w:rPr>
        <w:t>χειμεριν</w:t>
      </w:r>
      <w:r w:rsidR="0013624F">
        <w:rPr>
          <w:b/>
          <w:sz w:val="26"/>
          <w:szCs w:val="26"/>
        </w:rPr>
        <w:t>ές</w:t>
      </w:r>
      <w:r w:rsidR="00B345F5">
        <w:rPr>
          <w:b/>
          <w:sz w:val="26"/>
          <w:szCs w:val="26"/>
        </w:rPr>
        <w:t xml:space="preserve"> εκ</w:t>
      </w:r>
      <w:r>
        <w:rPr>
          <w:b/>
          <w:sz w:val="26"/>
          <w:szCs w:val="26"/>
        </w:rPr>
        <w:t>π</w:t>
      </w:r>
      <w:r w:rsidR="00B345F5">
        <w:rPr>
          <w:b/>
          <w:sz w:val="26"/>
          <w:szCs w:val="26"/>
        </w:rPr>
        <w:t>τ</w:t>
      </w:r>
      <w:r>
        <w:rPr>
          <w:b/>
          <w:sz w:val="26"/>
          <w:szCs w:val="26"/>
        </w:rPr>
        <w:t>ώ</w:t>
      </w:r>
      <w:r w:rsidR="00B345F5">
        <w:rPr>
          <w:b/>
          <w:sz w:val="26"/>
          <w:szCs w:val="26"/>
        </w:rPr>
        <w:t>σε</w:t>
      </w:r>
      <w:r w:rsidR="0013624F">
        <w:rPr>
          <w:b/>
          <w:sz w:val="26"/>
          <w:szCs w:val="26"/>
        </w:rPr>
        <w:t>ις</w:t>
      </w:r>
      <w:r>
        <w:rPr>
          <w:b/>
          <w:sz w:val="26"/>
          <w:szCs w:val="26"/>
        </w:rPr>
        <w:t>»</w:t>
      </w:r>
    </w:p>
    <w:p w:rsidR="006C3E3D" w:rsidRDefault="006C3E3D" w:rsidP="001B6B6D">
      <w:pPr>
        <w:shd w:val="clear" w:color="auto" w:fill="FFFFFF"/>
        <w:ind w:left="-142"/>
        <w:rPr>
          <w:b/>
          <w:sz w:val="26"/>
          <w:szCs w:val="26"/>
        </w:rPr>
      </w:pPr>
    </w:p>
    <w:p w:rsidR="002A5BA9" w:rsidRPr="00995B4F" w:rsidRDefault="00ED1B06" w:rsidP="001B6B6D">
      <w:pPr>
        <w:shd w:val="clear" w:color="auto" w:fill="FFFFFF"/>
        <w:ind w:left="-142"/>
        <w:rPr>
          <w:b/>
        </w:rPr>
      </w:pPr>
      <w:r w:rsidRPr="00995B4F">
        <w:rPr>
          <w:b/>
        </w:rPr>
        <w:t>Κίνηση Χριστουγέννων</w:t>
      </w:r>
    </w:p>
    <w:p w:rsidR="003569B2" w:rsidRPr="006C3E3D" w:rsidRDefault="00A775B6" w:rsidP="003569B2">
      <w:pPr>
        <w:spacing w:before="120"/>
        <w:ind w:left="-180"/>
        <w:jc w:val="both"/>
      </w:pPr>
      <w:r w:rsidRPr="006C3E3D">
        <w:t>Σ</w:t>
      </w:r>
      <w:r w:rsidR="003569B2" w:rsidRPr="006C3E3D">
        <w:t xml:space="preserve">ε επίπεδο απόλυτων μεγεθών, ο κύκλος εργασιών των καταστημάτων λιανικής κατά το μήνα Δεκέμβριο του τρέχοντος έτους, εκτιμάται στα </w:t>
      </w:r>
      <w:r w:rsidR="003569B2" w:rsidRPr="006C3E3D">
        <w:rPr>
          <w:b/>
        </w:rPr>
        <w:t>6,8 δις</w:t>
      </w:r>
      <w:r w:rsidR="003569B2" w:rsidRPr="006C3E3D">
        <w:t xml:space="preserve"> ευρώ, όντας μειωμένος κατά </w:t>
      </w:r>
      <w:r w:rsidR="003569B2" w:rsidRPr="006C3E3D">
        <w:rPr>
          <w:b/>
        </w:rPr>
        <w:t>0,8 δις</w:t>
      </w:r>
      <w:r w:rsidR="003569B2" w:rsidRPr="006C3E3D">
        <w:t xml:space="preserve"> ευρώ σε σχέση με το 2012. Η σύγκριση του 2013 με το 2008 είναι άκρως απογοητευτική, αφού τα </w:t>
      </w:r>
      <w:r w:rsidR="003569B2" w:rsidRPr="006C3E3D">
        <w:rPr>
          <w:b/>
        </w:rPr>
        <w:t>21,9 δις ευρώ</w:t>
      </w:r>
      <w:r w:rsidR="003569B2" w:rsidRPr="006C3E3D">
        <w:t xml:space="preserve"> του εορταστικού τζίρου εκείνης της χρονιάς αναμένεται να συρρικνωθούν στα </w:t>
      </w:r>
      <w:r w:rsidR="003569B2" w:rsidRPr="006C3E3D">
        <w:rPr>
          <w:b/>
        </w:rPr>
        <w:t>6,8 δις ευρώ φέτος,</w:t>
      </w:r>
      <w:r w:rsidR="003569B2" w:rsidRPr="006C3E3D">
        <w:t xml:space="preserve"> μία απώλεια της τάξεως του </w:t>
      </w:r>
      <w:r w:rsidR="003569B2" w:rsidRPr="006C3E3D">
        <w:rPr>
          <w:b/>
        </w:rPr>
        <w:t>68,9%</w:t>
      </w:r>
      <w:r w:rsidR="003569B2" w:rsidRPr="006C3E3D">
        <w:t xml:space="preserve"> που σηματοδοτεί τη μείωση του χριστουγεννιάτικου τζίρου κατά περίπου </w:t>
      </w:r>
      <w:r w:rsidR="003569B2" w:rsidRPr="006C3E3D">
        <w:rPr>
          <w:b/>
        </w:rPr>
        <w:t>70%</w:t>
      </w:r>
      <w:r w:rsidR="003569B2" w:rsidRPr="006C3E3D">
        <w:t xml:space="preserve"> τη τελευταία πενταετία. Ο εορταστικός τζίρος για το 2013 εκτιμάται ότι θα διαμορφωθεί στο 1/3 του τζίρου του 2008, αλλά υπολογίζεται ότι θα είναι μειωμένος μόνο κατά 10% σε σύγκριση με πέρσι. </w:t>
      </w:r>
    </w:p>
    <w:p w:rsidR="003569B2" w:rsidRPr="006C3E3D" w:rsidRDefault="003569B2" w:rsidP="003569B2"/>
    <w:tbl>
      <w:tblPr>
        <w:tblW w:w="859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906"/>
        <w:gridCol w:w="850"/>
        <w:gridCol w:w="1134"/>
        <w:gridCol w:w="1276"/>
        <w:gridCol w:w="1276"/>
        <w:gridCol w:w="1276"/>
      </w:tblGrid>
      <w:tr w:rsidR="003569B2" w:rsidRPr="006C3E3D" w:rsidTr="006C3E3D">
        <w:trPr>
          <w:trHeight w:val="523"/>
          <w:jc w:val="center"/>
        </w:trPr>
        <w:tc>
          <w:tcPr>
            <w:tcW w:w="8599" w:type="dxa"/>
            <w:gridSpan w:val="7"/>
            <w:shd w:val="clear" w:color="auto" w:fill="C0C0C0"/>
            <w:vAlign w:val="center"/>
          </w:tcPr>
          <w:p w:rsidR="003569B2" w:rsidRPr="006C3E3D" w:rsidRDefault="003569B2" w:rsidP="00DD7F3B">
            <w:pPr>
              <w:jc w:val="center"/>
              <w:rPr>
                <w:b/>
                <w:sz w:val="20"/>
                <w:szCs w:val="20"/>
              </w:rPr>
            </w:pPr>
            <w:r w:rsidRPr="006C3E3D">
              <w:rPr>
                <w:b/>
                <w:sz w:val="20"/>
                <w:szCs w:val="20"/>
              </w:rPr>
              <w:t>Πίνακας 1: Διαχρονική μεταβολή του κύκλου εργασιών (τζίρου) στα καταστήματα Λιανικής  κατά το μήνα Δεκέμβριο 2008-2013</w:t>
            </w:r>
          </w:p>
        </w:tc>
      </w:tr>
      <w:tr w:rsidR="006C3E3D" w:rsidRPr="006C3E3D" w:rsidTr="006C3E3D">
        <w:trPr>
          <w:trHeight w:val="309"/>
          <w:jc w:val="center"/>
        </w:trPr>
        <w:tc>
          <w:tcPr>
            <w:tcW w:w="1881" w:type="dxa"/>
            <w:vAlign w:val="center"/>
          </w:tcPr>
          <w:p w:rsidR="003569B2" w:rsidRPr="006C3E3D" w:rsidRDefault="003569B2" w:rsidP="00DD7F3B">
            <w:pPr>
              <w:jc w:val="center"/>
              <w:rPr>
                <w:b/>
                <w:sz w:val="20"/>
                <w:szCs w:val="20"/>
              </w:rPr>
            </w:pPr>
            <w:r w:rsidRPr="006C3E3D">
              <w:rPr>
                <w:b/>
                <w:sz w:val="20"/>
                <w:szCs w:val="20"/>
              </w:rPr>
              <w:t>Έτη</w:t>
            </w:r>
          </w:p>
        </w:tc>
        <w:tc>
          <w:tcPr>
            <w:tcW w:w="906" w:type="dxa"/>
            <w:vAlign w:val="center"/>
          </w:tcPr>
          <w:p w:rsidR="003569B2" w:rsidRPr="006C3E3D" w:rsidRDefault="003569B2" w:rsidP="00DD7F3B">
            <w:pPr>
              <w:jc w:val="center"/>
              <w:rPr>
                <w:b/>
                <w:sz w:val="20"/>
                <w:szCs w:val="20"/>
              </w:rPr>
            </w:pPr>
            <w:r w:rsidRPr="006C3E3D">
              <w:rPr>
                <w:b/>
                <w:sz w:val="20"/>
                <w:szCs w:val="20"/>
              </w:rPr>
              <w:t>2008</w:t>
            </w:r>
          </w:p>
        </w:tc>
        <w:tc>
          <w:tcPr>
            <w:tcW w:w="850" w:type="dxa"/>
            <w:vAlign w:val="center"/>
          </w:tcPr>
          <w:p w:rsidR="003569B2" w:rsidRPr="006C3E3D" w:rsidRDefault="003569B2" w:rsidP="00DD7F3B">
            <w:pPr>
              <w:jc w:val="center"/>
              <w:rPr>
                <w:b/>
                <w:sz w:val="20"/>
                <w:szCs w:val="20"/>
              </w:rPr>
            </w:pPr>
            <w:r w:rsidRPr="006C3E3D">
              <w:rPr>
                <w:b/>
                <w:sz w:val="20"/>
                <w:szCs w:val="20"/>
              </w:rPr>
              <w:t>2009</w:t>
            </w:r>
          </w:p>
        </w:tc>
        <w:tc>
          <w:tcPr>
            <w:tcW w:w="1134" w:type="dxa"/>
            <w:vAlign w:val="center"/>
          </w:tcPr>
          <w:p w:rsidR="003569B2" w:rsidRPr="006C3E3D" w:rsidRDefault="003569B2" w:rsidP="00DD7F3B">
            <w:pPr>
              <w:jc w:val="center"/>
              <w:rPr>
                <w:b/>
                <w:sz w:val="20"/>
                <w:szCs w:val="20"/>
              </w:rPr>
            </w:pPr>
            <w:r w:rsidRPr="006C3E3D">
              <w:rPr>
                <w:b/>
                <w:sz w:val="20"/>
                <w:szCs w:val="20"/>
              </w:rPr>
              <w:t>2010</w:t>
            </w:r>
          </w:p>
        </w:tc>
        <w:tc>
          <w:tcPr>
            <w:tcW w:w="1276" w:type="dxa"/>
            <w:vAlign w:val="center"/>
          </w:tcPr>
          <w:p w:rsidR="003569B2" w:rsidRPr="006C3E3D" w:rsidRDefault="003569B2" w:rsidP="00DD7F3B">
            <w:pPr>
              <w:jc w:val="center"/>
              <w:rPr>
                <w:b/>
                <w:sz w:val="20"/>
                <w:szCs w:val="20"/>
              </w:rPr>
            </w:pPr>
            <w:r w:rsidRPr="006C3E3D">
              <w:rPr>
                <w:b/>
                <w:sz w:val="20"/>
                <w:szCs w:val="20"/>
              </w:rPr>
              <w:t>2011</w:t>
            </w:r>
          </w:p>
        </w:tc>
        <w:tc>
          <w:tcPr>
            <w:tcW w:w="1276" w:type="dxa"/>
            <w:vAlign w:val="center"/>
          </w:tcPr>
          <w:p w:rsidR="003569B2" w:rsidRPr="006C3E3D" w:rsidRDefault="003569B2" w:rsidP="00DD7F3B">
            <w:pPr>
              <w:jc w:val="center"/>
              <w:rPr>
                <w:b/>
                <w:sz w:val="20"/>
                <w:szCs w:val="20"/>
              </w:rPr>
            </w:pPr>
            <w:r w:rsidRPr="006C3E3D">
              <w:rPr>
                <w:b/>
                <w:sz w:val="20"/>
                <w:szCs w:val="20"/>
              </w:rPr>
              <w:t>2012</w:t>
            </w:r>
          </w:p>
        </w:tc>
        <w:tc>
          <w:tcPr>
            <w:tcW w:w="1276" w:type="dxa"/>
            <w:vAlign w:val="center"/>
          </w:tcPr>
          <w:p w:rsidR="003569B2" w:rsidRPr="006C3E3D" w:rsidRDefault="003569B2" w:rsidP="00DD7F3B">
            <w:pPr>
              <w:jc w:val="center"/>
              <w:rPr>
                <w:b/>
                <w:sz w:val="20"/>
                <w:szCs w:val="20"/>
              </w:rPr>
            </w:pPr>
            <w:r w:rsidRPr="006C3E3D">
              <w:rPr>
                <w:b/>
                <w:sz w:val="20"/>
                <w:szCs w:val="20"/>
              </w:rPr>
              <w:t>2013 (εκτίμηση)</w:t>
            </w:r>
          </w:p>
        </w:tc>
      </w:tr>
      <w:tr w:rsidR="006C3E3D" w:rsidRPr="006C3E3D" w:rsidTr="006C3E3D">
        <w:trPr>
          <w:trHeight w:val="648"/>
          <w:jc w:val="center"/>
        </w:trPr>
        <w:tc>
          <w:tcPr>
            <w:tcW w:w="1881" w:type="dxa"/>
            <w:tcBorders>
              <w:bottom w:val="single" w:sz="4" w:space="0" w:color="auto"/>
            </w:tcBorders>
            <w:vAlign w:val="center"/>
          </w:tcPr>
          <w:p w:rsidR="003569B2" w:rsidRPr="006C3E3D" w:rsidRDefault="003569B2" w:rsidP="00DD7F3B">
            <w:pPr>
              <w:jc w:val="center"/>
              <w:rPr>
                <w:b/>
                <w:sz w:val="20"/>
                <w:szCs w:val="20"/>
              </w:rPr>
            </w:pPr>
            <w:r w:rsidRPr="006C3E3D">
              <w:rPr>
                <w:b/>
                <w:sz w:val="20"/>
                <w:szCs w:val="20"/>
              </w:rPr>
              <w:t>Κύκλος Εργασιών κατά την περίοδο των Χριστουγέννων</w:t>
            </w:r>
          </w:p>
        </w:tc>
        <w:tc>
          <w:tcPr>
            <w:tcW w:w="906" w:type="dxa"/>
            <w:vAlign w:val="center"/>
          </w:tcPr>
          <w:p w:rsidR="003569B2" w:rsidRPr="006C3E3D" w:rsidRDefault="003569B2" w:rsidP="00DD7F3B">
            <w:pPr>
              <w:jc w:val="center"/>
              <w:rPr>
                <w:sz w:val="20"/>
                <w:szCs w:val="20"/>
              </w:rPr>
            </w:pPr>
            <w:r w:rsidRPr="006C3E3D">
              <w:rPr>
                <w:sz w:val="20"/>
                <w:szCs w:val="20"/>
              </w:rPr>
              <w:t>21,9 δις</w:t>
            </w:r>
          </w:p>
        </w:tc>
        <w:tc>
          <w:tcPr>
            <w:tcW w:w="850" w:type="dxa"/>
            <w:vAlign w:val="center"/>
          </w:tcPr>
          <w:p w:rsidR="003569B2" w:rsidRPr="006C3E3D" w:rsidRDefault="003569B2" w:rsidP="00DD7F3B">
            <w:pPr>
              <w:jc w:val="center"/>
              <w:rPr>
                <w:sz w:val="20"/>
                <w:szCs w:val="20"/>
              </w:rPr>
            </w:pPr>
            <w:r w:rsidRPr="006C3E3D">
              <w:rPr>
                <w:sz w:val="20"/>
                <w:szCs w:val="20"/>
              </w:rPr>
              <w:t>16,4 δις</w:t>
            </w:r>
          </w:p>
        </w:tc>
        <w:tc>
          <w:tcPr>
            <w:tcW w:w="1134" w:type="dxa"/>
            <w:vAlign w:val="center"/>
          </w:tcPr>
          <w:p w:rsidR="003569B2" w:rsidRPr="006C3E3D" w:rsidRDefault="003569B2" w:rsidP="00DD7F3B">
            <w:pPr>
              <w:jc w:val="center"/>
              <w:rPr>
                <w:sz w:val="20"/>
                <w:szCs w:val="20"/>
              </w:rPr>
            </w:pPr>
            <w:r w:rsidRPr="006C3E3D">
              <w:rPr>
                <w:sz w:val="20"/>
                <w:szCs w:val="20"/>
              </w:rPr>
              <w:t>13,2 δις</w:t>
            </w:r>
          </w:p>
        </w:tc>
        <w:tc>
          <w:tcPr>
            <w:tcW w:w="1276" w:type="dxa"/>
            <w:vAlign w:val="center"/>
          </w:tcPr>
          <w:p w:rsidR="003569B2" w:rsidRPr="006C3E3D" w:rsidRDefault="003569B2" w:rsidP="00DD7F3B">
            <w:pPr>
              <w:jc w:val="center"/>
              <w:rPr>
                <w:sz w:val="20"/>
                <w:szCs w:val="20"/>
              </w:rPr>
            </w:pPr>
            <w:r w:rsidRPr="006C3E3D">
              <w:rPr>
                <w:sz w:val="20"/>
                <w:szCs w:val="20"/>
              </w:rPr>
              <w:t>9,25 δις</w:t>
            </w:r>
          </w:p>
        </w:tc>
        <w:tc>
          <w:tcPr>
            <w:tcW w:w="1276" w:type="dxa"/>
            <w:vAlign w:val="center"/>
          </w:tcPr>
          <w:p w:rsidR="003569B2" w:rsidRPr="006C3E3D" w:rsidRDefault="003569B2" w:rsidP="00DD7F3B">
            <w:pPr>
              <w:jc w:val="center"/>
              <w:rPr>
                <w:sz w:val="20"/>
                <w:szCs w:val="20"/>
              </w:rPr>
            </w:pPr>
            <w:r w:rsidRPr="006C3E3D">
              <w:rPr>
                <w:sz w:val="20"/>
                <w:szCs w:val="20"/>
              </w:rPr>
              <w:t>7,6 δις</w:t>
            </w:r>
          </w:p>
        </w:tc>
        <w:tc>
          <w:tcPr>
            <w:tcW w:w="1276" w:type="dxa"/>
            <w:vAlign w:val="center"/>
          </w:tcPr>
          <w:p w:rsidR="003569B2" w:rsidRPr="006C3E3D" w:rsidRDefault="003569B2" w:rsidP="00DD7F3B">
            <w:pPr>
              <w:jc w:val="center"/>
              <w:rPr>
                <w:sz w:val="20"/>
                <w:szCs w:val="20"/>
              </w:rPr>
            </w:pPr>
            <w:r w:rsidRPr="006C3E3D">
              <w:rPr>
                <w:sz w:val="20"/>
                <w:szCs w:val="20"/>
              </w:rPr>
              <w:t>6,8 δις</w:t>
            </w:r>
          </w:p>
        </w:tc>
      </w:tr>
      <w:tr w:rsidR="006C3E3D" w:rsidRPr="006C3E3D" w:rsidTr="006C3E3D">
        <w:trPr>
          <w:trHeight w:val="309"/>
          <w:jc w:val="center"/>
        </w:trPr>
        <w:tc>
          <w:tcPr>
            <w:tcW w:w="1881" w:type="dxa"/>
            <w:vMerge w:val="restart"/>
            <w:tcBorders>
              <w:bottom w:val="single" w:sz="4" w:space="0" w:color="auto"/>
            </w:tcBorders>
            <w:shd w:val="clear" w:color="auto" w:fill="C0C0C0"/>
            <w:vAlign w:val="center"/>
          </w:tcPr>
          <w:p w:rsidR="003569B2" w:rsidRPr="006C3E3D" w:rsidRDefault="003569B2" w:rsidP="00DD7F3B">
            <w:pPr>
              <w:jc w:val="center"/>
              <w:rPr>
                <w:sz w:val="20"/>
                <w:szCs w:val="20"/>
              </w:rPr>
            </w:pPr>
            <w:r w:rsidRPr="006C3E3D">
              <w:rPr>
                <w:b/>
                <w:sz w:val="20"/>
                <w:szCs w:val="20"/>
              </w:rPr>
              <w:t>(%) Μεταβολές</w:t>
            </w:r>
          </w:p>
        </w:tc>
        <w:tc>
          <w:tcPr>
            <w:tcW w:w="1756" w:type="dxa"/>
            <w:gridSpan w:val="2"/>
            <w:tcBorders>
              <w:bottom w:val="single" w:sz="4" w:space="0" w:color="auto"/>
            </w:tcBorders>
            <w:vAlign w:val="center"/>
          </w:tcPr>
          <w:p w:rsidR="003569B2" w:rsidRPr="006C3E3D" w:rsidRDefault="003569B2" w:rsidP="00DD7F3B">
            <w:pPr>
              <w:jc w:val="center"/>
              <w:rPr>
                <w:b/>
                <w:sz w:val="20"/>
                <w:szCs w:val="20"/>
              </w:rPr>
            </w:pPr>
            <w:r w:rsidRPr="006C3E3D">
              <w:rPr>
                <w:b/>
                <w:sz w:val="20"/>
                <w:szCs w:val="20"/>
              </w:rPr>
              <w:t>2009/2008</w:t>
            </w:r>
          </w:p>
        </w:tc>
        <w:tc>
          <w:tcPr>
            <w:tcW w:w="1134" w:type="dxa"/>
            <w:tcBorders>
              <w:bottom w:val="single" w:sz="4" w:space="0" w:color="auto"/>
            </w:tcBorders>
            <w:vAlign w:val="center"/>
          </w:tcPr>
          <w:p w:rsidR="003569B2" w:rsidRPr="006C3E3D" w:rsidRDefault="003569B2" w:rsidP="00DD7F3B">
            <w:pPr>
              <w:jc w:val="center"/>
              <w:rPr>
                <w:b/>
                <w:sz w:val="20"/>
                <w:szCs w:val="20"/>
              </w:rPr>
            </w:pPr>
            <w:r w:rsidRPr="006C3E3D">
              <w:rPr>
                <w:b/>
                <w:sz w:val="20"/>
                <w:szCs w:val="20"/>
              </w:rPr>
              <w:t>2010/2009</w:t>
            </w:r>
          </w:p>
        </w:tc>
        <w:tc>
          <w:tcPr>
            <w:tcW w:w="1276" w:type="dxa"/>
            <w:tcBorders>
              <w:bottom w:val="single" w:sz="4" w:space="0" w:color="auto"/>
            </w:tcBorders>
            <w:vAlign w:val="center"/>
          </w:tcPr>
          <w:p w:rsidR="003569B2" w:rsidRPr="006C3E3D" w:rsidRDefault="003569B2" w:rsidP="00DD7F3B">
            <w:pPr>
              <w:jc w:val="center"/>
              <w:rPr>
                <w:b/>
                <w:sz w:val="20"/>
                <w:szCs w:val="20"/>
              </w:rPr>
            </w:pPr>
            <w:r w:rsidRPr="006C3E3D">
              <w:rPr>
                <w:b/>
                <w:sz w:val="20"/>
                <w:szCs w:val="20"/>
              </w:rPr>
              <w:t>2011/2010</w:t>
            </w:r>
          </w:p>
        </w:tc>
        <w:tc>
          <w:tcPr>
            <w:tcW w:w="1276" w:type="dxa"/>
            <w:tcBorders>
              <w:bottom w:val="single" w:sz="4" w:space="0" w:color="auto"/>
            </w:tcBorders>
          </w:tcPr>
          <w:p w:rsidR="003569B2" w:rsidRPr="006C3E3D" w:rsidRDefault="003569B2" w:rsidP="00DD7F3B">
            <w:pPr>
              <w:jc w:val="center"/>
              <w:rPr>
                <w:b/>
                <w:sz w:val="20"/>
                <w:szCs w:val="20"/>
              </w:rPr>
            </w:pPr>
            <w:r w:rsidRPr="006C3E3D">
              <w:rPr>
                <w:b/>
                <w:sz w:val="20"/>
                <w:szCs w:val="20"/>
              </w:rPr>
              <w:t>2012/2011</w:t>
            </w:r>
          </w:p>
        </w:tc>
        <w:tc>
          <w:tcPr>
            <w:tcW w:w="1276" w:type="dxa"/>
            <w:tcBorders>
              <w:bottom w:val="single" w:sz="4" w:space="0" w:color="auto"/>
            </w:tcBorders>
            <w:vAlign w:val="center"/>
          </w:tcPr>
          <w:p w:rsidR="003569B2" w:rsidRPr="006C3E3D" w:rsidRDefault="003569B2" w:rsidP="00DD7F3B">
            <w:pPr>
              <w:jc w:val="center"/>
              <w:rPr>
                <w:b/>
                <w:sz w:val="20"/>
                <w:szCs w:val="20"/>
              </w:rPr>
            </w:pPr>
            <w:r w:rsidRPr="006C3E3D">
              <w:rPr>
                <w:b/>
                <w:sz w:val="20"/>
                <w:szCs w:val="20"/>
              </w:rPr>
              <w:t>2013/2012</w:t>
            </w:r>
          </w:p>
        </w:tc>
      </w:tr>
      <w:tr w:rsidR="006C3E3D" w:rsidRPr="006C3E3D" w:rsidTr="006C3E3D">
        <w:trPr>
          <w:trHeight w:val="352"/>
          <w:jc w:val="center"/>
        </w:trPr>
        <w:tc>
          <w:tcPr>
            <w:tcW w:w="1881" w:type="dxa"/>
            <w:vMerge/>
            <w:shd w:val="clear" w:color="auto" w:fill="C0C0C0"/>
            <w:vAlign w:val="center"/>
          </w:tcPr>
          <w:p w:rsidR="003569B2" w:rsidRPr="006C3E3D" w:rsidRDefault="003569B2" w:rsidP="00DD7F3B">
            <w:pPr>
              <w:jc w:val="center"/>
              <w:rPr>
                <w:b/>
                <w:sz w:val="20"/>
                <w:szCs w:val="20"/>
              </w:rPr>
            </w:pPr>
          </w:p>
        </w:tc>
        <w:tc>
          <w:tcPr>
            <w:tcW w:w="1756" w:type="dxa"/>
            <w:gridSpan w:val="2"/>
            <w:shd w:val="clear" w:color="auto" w:fill="C0C0C0"/>
            <w:vAlign w:val="center"/>
          </w:tcPr>
          <w:p w:rsidR="003569B2" w:rsidRPr="006C3E3D" w:rsidRDefault="003569B2" w:rsidP="00DD7F3B">
            <w:pPr>
              <w:jc w:val="center"/>
              <w:rPr>
                <w:b/>
                <w:sz w:val="20"/>
                <w:szCs w:val="20"/>
              </w:rPr>
            </w:pPr>
            <w:r w:rsidRPr="006C3E3D">
              <w:rPr>
                <w:b/>
                <w:sz w:val="20"/>
                <w:szCs w:val="20"/>
              </w:rPr>
              <w:t>-25,1%</w:t>
            </w:r>
          </w:p>
        </w:tc>
        <w:tc>
          <w:tcPr>
            <w:tcW w:w="1134" w:type="dxa"/>
            <w:shd w:val="clear" w:color="auto" w:fill="C0C0C0"/>
            <w:vAlign w:val="center"/>
          </w:tcPr>
          <w:p w:rsidR="003569B2" w:rsidRPr="006C3E3D" w:rsidRDefault="003569B2" w:rsidP="00DD7F3B">
            <w:pPr>
              <w:jc w:val="center"/>
              <w:rPr>
                <w:b/>
                <w:sz w:val="20"/>
                <w:szCs w:val="20"/>
              </w:rPr>
            </w:pPr>
            <w:r w:rsidRPr="006C3E3D">
              <w:rPr>
                <w:b/>
                <w:sz w:val="20"/>
                <w:szCs w:val="20"/>
              </w:rPr>
              <w:t>-19,5%</w:t>
            </w:r>
          </w:p>
        </w:tc>
        <w:tc>
          <w:tcPr>
            <w:tcW w:w="1276" w:type="dxa"/>
            <w:shd w:val="clear" w:color="auto" w:fill="C0C0C0"/>
            <w:vAlign w:val="center"/>
          </w:tcPr>
          <w:p w:rsidR="003569B2" w:rsidRPr="006C3E3D" w:rsidRDefault="003569B2" w:rsidP="00DD7F3B">
            <w:pPr>
              <w:jc w:val="center"/>
              <w:rPr>
                <w:b/>
                <w:sz w:val="20"/>
                <w:szCs w:val="20"/>
              </w:rPr>
            </w:pPr>
            <w:r w:rsidRPr="006C3E3D">
              <w:rPr>
                <w:b/>
                <w:sz w:val="20"/>
                <w:szCs w:val="20"/>
              </w:rPr>
              <w:t>-29,9%</w:t>
            </w:r>
          </w:p>
        </w:tc>
        <w:tc>
          <w:tcPr>
            <w:tcW w:w="1276" w:type="dxa"/>
            <w:shd w:val="clear" w:color="auto" w:fill="C0C0C0"/>
            <w:vAlign w:val="center"/>
          </w:tcPr>
          <w:p w:rsidR="003569B2" w:rsidRPr="006C3E3D" w:rsidRDefault="003569B2" w:rsidP="00DD7F3B">
            <w:pPr>
              <w:jc w:val="center"/>
              <w:rPr>
                <w:b/>
                <w:sz w:val="20"/>
                <w:szCs w:val="20"/>
              </w:rPr>
            </w:pPr>
            <w:r w:rsidRPr="006C3E3D">
              <w:rPr>
                <w:b/>
                <w:sz w:val="20"/>
                <w:szCs w:val="20"/>
              </w:rPr>
              <w:t>-17,8%</w:t>
            </w:r>
          </w:p>
        </w:tc>
        <w:tc>
          <w:tcPr>
            <w:tcW w:w="1276" w:type="dxa"/>
            <w:shd w:val="clear" w:color="auto" w:fill="C0C0C0"/>
            <w:vAlign w:val="center"/>
          </w:tcPr>
          <w:p w:rsidR="003569B2" w:rsidRPr="006C3E3D" w:rsidRDefault="003569B2" w:rsidP="00DD7F3B">
            <w:pPr>
              <w:jc w:val="center"/>
              <w:rPr>
                <w:b/>
                <w:sz w:val="20"/>
                <w:szCs w:val="20"/>
              </w:rPr>
            </w:pPr>
            <w:r w:rsidRPr="006C3E3D">
              <w:rPr>
                <w:b/>
                <w:sz w:val="20"/>
                <w:szCs w:val="20"/>
              </w:rPr>
              <w:t>-10,5%</w:t>
            </w:r>
          </w:p>
        </w:tc>
      </w:tr>
    </w:tbl>
    <w:p w:rsidR="003569B2" w:rsidRDefault="003569B2" w:rsidP="003569B2"/>
    <w:p w:rsidR="00CB1848" w:rsidRPr="006C3E3D" w:rsidRDefault="00262794" w:rsidP="00AC363B">
      <w:pPr>
        <w:shd w:val="clear" w:color="auto" w:fill="FFFFFF"/>
        <w:jc w:val="both"/>
      </w:pPr>
      <w:r w:rsidRPr="006C3E3D">
        <w:t>Οι προβλέψεις και εκτιμήσεις επιβεβαιώθηκαν για το σύνολο της αγοράς, αφού ο συνολικός τζίρος παρουσίασε πτώση περίπου 10%. Παρ</w:t>
      </w:r>
      <w:r w:rsidR="00481E4B">
        <w:t>’</w:t>
      </w:r>
      <w:r w:rsidRPr="006C3E3D">
        <w:t xml:space="preserve"> όλα αυτά, υπήρξαν μεγάλες διαφοροποιήσεις ανά κατηγορία καταστημάτων και ανά περιοχή, γεγονός που συμβάλλει στην εξαγωγή ασφαλών συμπερασμάτων μόνο για το σύνολο της αγοράς. </w:t>
      </w:r>
    </w:p>
    <w:p w:rsidR="00CB1848" w:rsidRPr="006C3E3D" w:rsidRDefault="00CB1848" w:rsidP="00AC363B">
      <w:pPr>
        <w:shd w:val="clear" w:color="auto" w:fill="FFFFFF"/>
        <w:jc w:val="both"/>
      </w:pPr>
    </w:p>
    <w:p w:rsidR="00995B4F" w:rsidRDefault="002A5BA9" w:rsidP="00995B4F">
      <w:pPr>
        <w:shd w:val="clear" w:color="auto" w:fill="FFFFFF"/>
        <w:rPr>
          <w:rFonts w:eastAsia="Times New Roman"/>
          <w:b/>
          <w:color w:val="000000"/>
        </w:rPr>
      </w:pPr>
      <w:r w:rsidRPr="00995B4F">
        <w:rPr>
          <w:rFonts w:eastAsia="Times New Roman"/>
          <w:b/>
          <w:color w:val="000000"/>
        </w:rPr>
        <w:t>Κ</w:t>
      </w:r>
      <w:r w:rsidR="006C3E3D" w:rsidRPr="00995B4F">
        <w:rPr>
          <w:rFonts w:eastAsia="Times New Roman"/>
          <w:b/>
          <w:color w:val="000000"/>
        </w:rPr>
        <w:t>ίνηση την Κυριακή 2</w:t>
      </w:r>
      <w:r w:rsidRPr="00995B4F">
        <w:rPr>
          <w:rFonts w:eastAsia="Times New Roman"/>
          <w:b/>
          <w:color w:val="000000"/>
        </w:rPr>
        <w:t>9</w:t>
      </w:r>
      <w:r w:rsidR="00ED1B06" w:rsidRPr="00995B4F">
        <w:rPr>
          <w:rFonts w:eastAsia="Times New Roman"/>
          <w:b/>
          <w:color w:val="000000"/>
        </w:rPr>
        <w:t xml:space="preserve"> Δεκεμβρίου</w:t>
      </w:r>
      <w:r w:rsidR="00995B4F">
        <w:rPr>
          <w:rFonts w:eastAsia="Times New Roman"/>
          <w:b/>
          <w:color w:val="000000"/>
        </w:rPr>
        <w:t xml:space="preserve"> - </w:t>
      </w:r>
      <w:r w:rsidR="00995B4F" w:rsidRPr="00995B4F">
        <w:rPr>
          <w:rFonts w:eastAsia="Times New Roman"/>
          <w:b/>
          <w:color w:val="000000"/>
        </w:rPr>
        <w:t>Συνολική εικόνα</w:t>
      </w:r>
    </w:p>
    <w:p w:rsidR="00995B4F" w:rsidRDefault="00995B4F" w:rsidP="00995B4F">
      <w:pPr>
        <w:shd w:val="clear" w:color="auto" w:fill="FFFFFF"/>
        <w:rPr>
          <w:rFonts w:eastAsia="Times New Roman"/>
          <w:b/>
          <w:bCs/>
          <w:color w:val="000000"/>
        </w:rPr>
      </w:pPr>
    </w:p>
    <w:p w:rsidR="00995B4F" w:rsidRPr="00995B4F" w:rsidRDefault="002A5BA9" w:rsidP="00995B4F">
      <w:pPr>
        <w:shd w:val="clear" w:color="auto" w:fill="FFFFFF"/>
        <w:rPr>
          <w:rFonts w:eastAsia="Times New Roman"/>
          <w:b/>
          <w:bCs/>
          <w:color w:val="000000"/>
        </w:rPr>
      </w:pPr>
      <w:r w:rsidRPr="00995B4F">
        <w:rPr>
          <w:rFonts w:eastAsia="Times New Roman"/>
          <w:b/>
          <w:bCs/>
          <w:color w:val="000000"/>
        </w:rPr>
        <w:t>Κ</w:t>
      </w:r>
      <w:r w:rsidR="006C3E3D" w:rsidRPr="00995B4F">
        <w:rPr>
          <w:rFonts w:eastAsia="Times New Roman"/>
          <w:b/>
          <w:bCs/>
          <w:color w:val="000000"/>
        </w:rPr>
        <w:t xml:space="preserve">ρήτη </w:t>
      </w:r>
    </w:p>
    <w:p w:rsidR="006C3E3D" w:rsidRPr="00995B4F" w:rsidRDefault="00ED1B06"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color w:val="000000"/>
        </w:rPr>
      </w:pPr>
      <w:r w:rsidRPr="00995B4F">
        <w:rPr>
          <w:rFonts w:eastAsia="Times New Roman"/>
          <w:color w:val="000000"/>
        </w:rPr>
        <w:t>Σ</w:t>
      </w:r>
      <w:r w:rsidR="006C3E3D" w:rsidRPr="00995B4F">
        <w:rPr>
          <w:rFonts w:eastAsia="Times New Roman"/>
          <w:color w:val="000000"/>
        </w:rPr>
        <w:t>τα κέντρα των πόλεων άνοιξαν σχεδόν όλα τα μαγαζιά, όχι τα μεγάλα</w:t>
      </w:r>
      <w:r w:rsidR="00995B4F">
        <w:rPr>
          <w:rFonts w:eastAsia="Times New Roman"/>
          <w:color w:val="000000"/>
        </w:rPr>
        <w:t>.</w:t>
      </w:r>
    </w:p>
    <w:p w:rsidR="006C3E3D" w:rsidRPr="00995B4F" w:rsidRDefault="006C3E3D"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color w:val="000000"/>
        </w:rPr>
      </w:pPr>
      <w:r w:rsidRPr="00995B4F">
        <w:rPr>
          <w:rFonts w:eastAsia="Times New Roman"/>
          <w:color w:val="000000"/>
        </w:rPr>
        <w:t>Δεν άνοιξαν τα μαγαζιά εκτός κέντρου.</w:t>
      </w:r>
    </w:p>
    <w:p w:rsidR="006C3E3D" w:rsidRPr="006C3E3D" w:rsidRDefault="006C3E3D"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i/>
          <w:color w:val="000000"/>
          <w:sz w:val="26"/>
          <w:szCs w:val="26"/>
        </w:rPr>
      </w:pPr>
      <w:r w:rsidRPr="00995B4F">
        <w:rPr>
          <w:rFonts w:eastAsia="Times New Roman"/>
          <w:color w:val="000000"/>
        </w:rPr>
        <w:t>Πολύς κόσμος στην αγορά, όμως ο τζίρος περίπου -60% από την Κυριακή των Χριστουγέννων</w:t>
      </w:r>
      <w:r>
        <w:rPr>
          <w:rFonts w:eastAsia="Times New Roman"/>
          <w:color w:val="000000"/>
          <w:sz w:val="26"/>
          <w:szCs w:val="26"/>
        </w:rPr>
        <w:t>.</w:t>
      </w:r>
    </w:p>
    <w:p w:rsidR="00ED1B06" w:rsidRPr="006C3E3D" w:rsidRDefault="002A5BA9" w:rsidP="006C3E3D">
      <w:pPr>
        <w:shd w:val="clear" w:color="auto" w:fill="FFFFFF"/>
        <w:spacing w:before="100" w:beforeAutospacing="1" w:after="100" w:afterAutospacing="1"/>
        <w:jc w:val="both"/>
        <w:rPr>
          <w:rFonts w:eastAsia="Times New Roman"/>
          <w:color w:val="000000"/>
          <w:sz w:val="26"/>
          <w:szCs w:val="26"/>
        </w:rPr>
      </w:pPr>
      <w:r w:rsidRPr="006C3E3D">
        <w:rPr>
          <w:rFonts w:eastAsia="Times New Roman"/>
          <w:b/>
          <w:bCs/>
          <w:color w:val="000000"/>
          <w:sz w:val="26"/>
          <w:szCs w:val="26"/>
        </w:rPr>
        <w:t>Θ</w:t>
      </w:r>
      <w:r w:rsidR="006C3E3D">
        <w:rPr>
          <w:rFonts w:eastAsia="Times New Roman"/>
          <w:b/>
          <w:bCs/>
          <w:color w:val="000000"/>
          <w:sz w:val="26"/>
          <w:szCs w:val="26"/>
        </w:rPr>
        <w:t>εσσαλονίκη</w:t>
      </w:r>
      <w:r w:rsidRPr="006C3E3D">
        <w:rPr>
          <w:rFonts w:eastAsia="Times New Roman"/>
          <w:b/>
          <w:bCs/>
          <w:color w:val="000000"/>
          <w:sz w:val="26"/>
          <w:szCs w:val="26"/>
        </w:rPr>
        <w:t xml:space="preserve"> </w:t>
      </w:r>
    </w:p>
    <w:p w:rsidR="006C3E3D" w:rsidRPr="006C3E3D" w:rsidRDefault="006C3E3D"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color w:val="000000"/>
          <w:sz w:val="26"/>
          <w:szCs w:val="26"/>
        </w:rPr>
      </w:pPr>
      <w:r w:rsidRPr="006C3E3D">
        <w:rPr>
          <w:rFonts w:eastAsia="Times New Roman"/>
          <w:color w:val="000000"/>
          <w:sz w:val="26"/>
          <w:szCs w:val="26"/>
        </w:rPr>
        <w:t xml:space="preserve">Άνοιξαν όλοι οι μικροί του κέντρου. Δεν άνοιξε το </w:t>
      </w:r>
      <w:r w:rsidRPr="006C3E3D">
        <w:rPr>
          <w:rFonts w:eastAsia="Times New Roman"/>
          <w:color w:val="000000"/>
          <w:sz w:val="26"/>
          <w:szCs w:val="26"/>
          <w:lang w:val="en-US"/>
        </w:rPr>
        <w:t>COSMOS</w:t>
      </w:r>
      <w:r w:rsidRPr="006C3E3D">
        <w:rPr>
          <w:rFonts w:eastAsia="Times New Roman"/>
          <w:color w:val="000000"/>
          <w:sz w:val="26"/>
          <w:szCs w:val="26"/>
        </w:rPr>
        <w:t>.</w:t>
      </w:r>
    </w:p>
    <w:p w:rsidR="006C3E3D" w:rsidRDefault="006C3E3D"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color w:val="000000"/>
          <w:sz w:val="26"/>
          <w:szCs w:val="26"/>
        </w:rPr>
      </w:pPr>
      <w:r w:rsidRPr="006C3E3D">
        <w:rPr>
          <w:rFonts w:eastAsia="Times New Roman"/>
          <w:color w:val="000000"/>
          <w:sz w:val="26"/>
          <w:szCs w:val="26"/>
        </w:rPr>
        <w:t>Πολύς κόσμος στην αγορά όλες τις ημέρες.</w:t>
      </w:r>
    </w:p>
    <w:p w:rsidR="002A5BA9" w:rsidRPr="006C3E3D" w:rsidRDefault="006C3E3D" w:rsidP="006C3E3D">
      <w:pPr>
        <w:pStyle w:val="a3"/>
        <w:numPr>
          <w:ilvl w:val="0"/>
          <w:numId w:val="2"/>
        </w:numPr>
        <w:shd w:val="clear" w:color="auto" w:fill="FFFFFF"/>
        <w:tabs>
          <w:tab w:val="num" w:pos="426"/>
        </w:tabs>
        <w:spacing w:before="100" w:beforeAutospacing="1" w:after="100" w:afterAutospacing="1"/>
        <w:ind w:left="426" w:hanging="426"/>
        <w:jc w:val="both"/>
        <w:rPr>
          <w:rFonts w:eastAsia="Times New Roman"/>
          <w:color w:val="000000"/>
          <w:sz w:val="26"/>
          <w:szCs w:val="26"/>
        </w:rPr>
      </w:pPr>
      <w:r w:rsidRPr="006C3E3D">
        <w:rPr>
          <w:rFonts w:eastAsia="Times New Roman"/>
          <w:color w:val="000000"/>
          <w:sz w:val="26"/>
          <w:szCs w:val="26"/>
        </w:rPr>
        <w:t xml:space="preserve">Ο τζίρος σαν μια γιορτινή μέρα, μικρότερος όμως από την Κυριακή των Χριστουγέννων. </w:t>
      </w:r>
    </w:p>
    <w:p w:rsidR="00ED1B06" w:rsidRPr="00995B4F" w:rsidRDefault="00ED1B06">
      <w:pPr>
        <w:rPr>
          <w:b/>
        </w:rPr>
      </w:pPr>
      <w:r w:rsidRPr="00995B4F">
        <w:rPr>
          <w:b/>
        </w:rPr>
        <w:lastRenderedPageBreak/>
        <w:t>Εκτιμήσεις για τις εκπτώσεις</w:t>
      </w:r>
    </w:p>
    <w:p w:rsidR="00262794" w:rsidRPr="00995B4F" w:rsidRDefault="00262794">
      <w:pPr>
        <w:rPr>
          <w:b/>
        </w:rPr>
      </w:pPr>
    </w:p>
    <w:p w:rsidR="00AC363B" w:rsidRPr="00995B4F" w:rsidRDefault="00262794" w:rsidP="00D005A9">
      <w:pPr>
        <w:jc w:val="both"/>
      </w:pPr>
      <w:r w:rsidRPr="00995B4F">
        <w:t xml:space="preserve">Οι εκπτώσεις του Ιανουαρίου/Φεβρουαρίου φέτος, πραγματοποιούνται σε μία ιδιαίτερη περίοδο, αφού ακολουθούν το πρώτο ενδιάμεσο δεκαήμερο εκπτώσεων του Νοέμβριου. Κρίνεται από την κίνηση συνολικά της αγοράς το 2013 ότι δεν πρόκειται να υπάρξουν ιδιαίτερες διαφοροποιήσεις από την γενική τάση. </w:t>
      </w:r>
      <w:r w:rsidR="00D005A9" w:rsidRPr="00995B4F">
        <w:t>Όπως παρουσιάζεται στο παρακάτω διάγραμμα, ο τζίρος κινείται συνολικά σε χαμηλότερα επίπεδα</w:t>
      </w:r>
      <w:r w:rsidR="00995B4F" w:rsidRPr="00995B4F">
        <w:t>,</w:t>
      </w:r>
      <w:r w:rsidR="00D005A9" w:rsidRPr="00995B4F">
        <w:t xml:space="preserve"> εμφανίζοντας όμως παρόμοιες μεταβολές κατά την διάρκεια του έτους. </w:t>
      </w:r>
      <w:r w:rsidR="00184E73" w:rsidRPr="00995B4F">
        <w:t xml:space="preserve">Ο Δεκέμβριος παραμένει ο μήνας με το μεγαλύτερο τζίρο, ενώ αν ληφθούν υπόψη τα μεγάλα ποσοστά εκπτώσεων των τελευταίων χρόνων, η πορεία του δείκτη κατά την διάρκεια των χειμερινών εκπτώσεων φέτος, σε αντίθεση με τα τρία τελευταία χρόνια ευελπιστούμε ότι θα είναι  διαφοροποιημένη σε σύγκριση με την κατακόρυφη πτώση των τελευταίων χρόνων. </w:t>
      </w:r>
    </w:p>
    <w:p w:rsidR="00AC363B" w:rsidRPr="00995B4F" w:rsidRDefault="00AC363B" w:rsidP="00D005A9">
      <w:pPr>
        <w:jc w:val="both"/>
      </w:pPr>
    </w:p>
    <w:p w:rsidR="00AC363B" w:rsidRPr="00995B4F" w:rsidRDefault="00AC363B" w:rsidP="00AC363B">
      <w:pPr>
        <w:jc w:val="center"/>
        <w:rPr>
          <w:b/>
          <w:sz w:val="22"/>
          <w:szCs w:val="22"/>
        </w:rPr>
      </w:pPr>
      <w:r w:rsidRPr="00995B4F">
        <w:rPr>
          <w:b/>
          <w:sz w:val="22"/>
          <w:szCs w:val="22"/>
        </w:rPr>
        <w:t>Πορεία Δείκτη Κύκλου Εργασιών του κλάδου ένδυσης – υπόδησης 2011 – 2012 – 2013 έως Οκτώβριο)</w:t>
      </w:r>
    </w:p>
    <w:p w:rsidR="00AC363B" w:rsidRPr="00995B4F" w:rsidRDefault="00AC363B" w:rsidP="00AC363B">
      <w:pPr>
        <w:jc w:val="center"/>
        <w:rPr>
          <w:b/>
          <w:sz w:val="22"/>
          <w:szCs w:val="22"/>
        </w:rPr>
      </w:pPr>
    </w:p>
    <w:p w:rsidR="00DD7F3B" w:rsidRPr="00995B4F" w:rsidRDefault="00AC363B" w:rsidP="00AC363B">
      <w:pPr>
        <w:ind w:left="-709"/>
        <w:rPr>
          <w:sz w:val="22"/>
          <w:szCs w:val="22"/>
        </w:rPr>
      </w:pPr>
      <w:r w:rsidRPr="00995B4F">
        <w:rPr>
          <w:noProof/>
          <w:sz w:val="22"/>
          <w:szCs w:val="22"/>
        </w:rPr>
        <w:drawing>
          <wp:inline distT="0" distB="0" distL="0" distR="0">
            <wp:extent cx="6083410" cy="1948070"/>
            <wp:effectExtent l="19050" t="0" r="1259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4E73" w:rsidRDefault="00184E73" w:rsidP="00DD7F3B">
      <w:pPr>
        <w:rPr>
          <w:sz w:val="26"/>
          <w:szCs w:val="26"/>
        </w:rPr>
      </w:pPr>
    </w:p>
    <w:p w:rsidR="00184E73" w:rsidRPr="00995B4F" w:rsidRDefault="0072171F" w:rsidP="001B6B6D">
      <w:pPr>
        <w:jc w:val="both"/>
      </w:pPr>
      <w:r w:rsidRPr="00995B4F">
        <w:t>Πιο</w:t>
      </w:r>
      <w:r w:rsidR="001B6B6D" w:rsidRPr="00995B4F">
        <w:t xml:space="preserve"> συγκεκριμένα, κατά το δίμηνο των</w:t>
      </w:r>
      <w:r w:rsidRPr="00995B4F">
        <w:t xml:space="preserve"> εκπτώσεων ο </w:t>
      </w:r>
      <w:r w:rsidR="001B6B6D" w:rsidRPr="00995B4F">
        <w:t>τζίρος θα κινηθεί περίπου 10% χαμηλότερα σε σύγκριση με πέρσι</w:t>
      </w:r>
      <w:r w:rsidR="00995B4F">
        <w:t>,</w:t>
      </w:r>
      <w:r w:rsidR="001B6B6D" w:rsidRPr="00995B4F">
        <w:t xml:space="preserve"> ενώ η </w:t>
      </w:r>
      <w:proofErr w:type="spellStart"/>
      <w:r w:rsidR="001B6B6D" w:rsidRPr="00995B4F">
        <w:t>επισκεψιμότητα</w:t>
      </w:r>
      <w:proofErr w:type="spellEnd"/>
      <w:r w:rsidR="001B6B6D" w:rsidRPr="00995B4F">
        <w:t xml:space="preserve"> θα κυμανθεί στα ίδια επίπεδα.  Το ποσοστό της αρνητικής μεταβολής αυτού το διμήνου προβλέπεται να είναι μικρότερο σε σύγκριση με τα προ</w:t>
      </w:r>
      <w:r w:rsidR="008B741D" w:rsidRPr="00995B4F">
        <w:t>ηγούμενα έτη (Πίνακας 2)</w:t>
      </w:r>
      <w:r w:rsidR="00995B4F">
        <w:t>,</w:t>
      </w:r>
      <w:r w:rsidR="008B741D" w:rsidRPr="00995B4F">
        <w:t xml:space="preserve"> αλλά ο τζίρος της αγοράς θα συρρικνωθεί κατά το ήμισυ σε σχέση με το 2010.</w:t>
      </w:r>
    </w:p>
    <w:p w:rsidR="008B741D" w:rsidRDefault="008B741D" w:rsidP="001B6B6D">
      <w:pPr>
        <w:jc w:val="both"/>
        <w:rPr>
          <w:sz w:val="26"/>
          <w:szCs w:val="26"/>
        </w:rPr>
      </w:pPr>
    </w:p>
    <w:p w:rsidR="00184E73" w:rsidRPr="00DD7F3B" w:rsidRDefault="00184E73" w:rsidP="00184E73">
      <w:pPr>
        <w:ind w:left="-993"/>
        <w:rPr>
          <w:sz w:val="26"/>
          <w:szCs w:val="26"/>
        </w:rPr>
      </w:pPr>
    </w:p>
    <w:tbl>
      <w:tblPr>
        <w:tblW w:w="9900" w:type="dxa"/>
        <w:tblInd w:w="-1026" w:type="dxa"/>
        <w:tblLook w:val="04A0"/>
      </w:tblPr>
      <w:tblGrid>
        <w:gridCol w:w="1650"/>
        <w:gridCol w:w="1650"/>
        <w:gridCol w:w="1650"/>
        <w:gridCol w:w="1650"/>
        <w:gridCol w:w="1650"/>
        <w:gridCol w:w="1650"/>
      </w:tblGrid>
      <w:tr w:rsidR="00184E73" w:rsidRPr="00995B4F" w:rsidTr="00184E73">
        <w:trPr>
          <w:trHeight w:val="675"/>
        </w:trPr>
        <w:tc>
          <w:tcPr>
            <w:tcW w:w="990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ΠΙΝΑΚΑΣ 2: ΕΞΕΛΙΞΗ ΤΖΙΡΟΥ ΤΗΝ ΠΕΡΙΟΔΟ ΤΩΝ ΧΕΙΜΕΡΙΝΩΝ ΕΚΠΤΩΣΕΩΝ (ΙΑΝΟΥΑΡΙΟΣ - ΦΕΒΡΟΥΑΡΙΟΣ) ΤΑ ΤΕΛΕΥΤΑΙΑ 6 ΧΡΟΝΙΑ</w:t>
            </w:r>
          </w:p>
        </w:tc>
      </w:tr>
      <w:tr w:rsidR="00184E73" w:rsidRPr="00995B4F" w:rsidTr="00184E73">
        <w:trPr>
          <w:trHeight w:val="255"/>
        </w:trPr>
        <w:tc>
          <w:tcPr>
            <w:tcW w:w="1650" w:type="dxa"/>
            <w:tcBorders>
              <w:top w:val="nil"/>
              <w:left w:val="single" w:sz="8" w:space="0" w:color="auto"/>
              <w:bottom w:val="single" w:sz="4" w:space="0" w:color="auto"/>
              <w:right w:val="single" w:sz="4"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2008</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2009</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2010</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2011</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2012</w:t>
            </w:r>
          </w:p>
        </w:tc>
        <w:tc>
          <w:tcPr>
            <w:tcW w:w="1650" w:type="dxa"/>
            <w:tcBorders>
              <w:top w:val="nil"/>
              <w:left w:val="nil"/>
              <w:bottom w:val="single" w:sz="4" w:space="0" w:color="auto"/>
              <w:right w:val="single" w:sz="8" w:space="0" w:color="auto"/>
            </w:tcBorders>
            <w:shd w:val="clear" w:color="auto" w:fill="auto"/>
            <w:noWrap/>
            <w:vAlign w:val="bottom"/>
            <w:hideMark/>
          </w:tcPr>
          <w:p w:rsidR="00184E73" w:rsidRPr="00995B4F" w:rsidRDefault="00184E73" w:rsidP="00184E73">
            <w:pPr>
              <w:jc w:val="center"/>
              <w:rPr>
                <w:rFonts w:eastAsia="Times New Roman"/>
                <w:b/>
                <w:bCs/>
                <w:sz w:val="16"/>
                <w:szCs w:val="16"/>
              </w:rPr>
            </w:pPr>
            <w:r w:rsidRPr="00995B4F">
              <w:rPr>
                <w:rFonts w:eastAsia="Times New Roman"/>
                <w:b/>
                <w:bCs/>
                <w:sz w:val="16"/>
                <w:szCs w:val="16"/>
              </w:rPr>
              <w:t>2013</w:t>
            </w:r>
          </w:p>
        </w:tc>
      </w:tr>
      <w:tr w:rsidR="00184E73" w:rsidRPr="00995B4F" w:rsidTr="00184E73">
        <w:trPr>
          <w:trHeight w:val="570"/>
        </w:trPr>
        <w:tc>
          <w:tcPr>
            <w:tcW w:w="1650" w:type="dxa"/>
            <w:tcBorders>
              <w:top w:val="nil"/>
              <w:left w:val="single" w:sz="8" w:space="0" w:color="auto"/>
              <w:bottom w:val="single" w:sz="4"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8.831.302.585,34 €</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8.651.990.797,34 €</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9.236.110.287,69 €</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7.606.494.371,99 €</w:t>
            </w:r>
          </w:p>
        </w:tc>
        <w:tc>
          <w:tcPr>
            <w:tcW w:w="1650" w:type="dxa"/>
            <w:tcBorders>
              <w:top w:val="nil"/>
              <w:left w:val="nil"/>
              <w:bottom w:val="single" w:sz="4"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6.473.606.306,12 €</w:t>
            </w:r>
          </w:p>
        </w:tc>
        <w:tc>
          <w:tcPr>
            <w:tcW w:w="1650" w:type="dxa"/>
            <w:tcBorders>
              <w:top w:val="nil"/>
              <w:left w:val="nil"/>
              <w:bottom w:val="single" w:sz="4" w:space="0" w:color="auto"/>
              <w:right w:val="single" w:sz="8"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5.567.301.423,26 €</w:t>
            </w:r>
          </w:p>
        </w:tc>
      </w:tr>
      <w:tr w:rsidR="00184E73" w:rsidRPr="00995B4F" w:rsidTr="00184E73">
        <w:trPr>
          <w:trHeight w:val="270"/>
        </w:trPr>
        <w:tc>
          <w:tcPr>
            <w:tcW w:w="1650" w:type="dxa"/>
            <w:tcBorders>
              <w:top w:val="nil"/>
              <w:left w:val="single" w:sz="8" w:space="0" w:color="auto"/>
              <w:bottom w:val="single" w:sz="8" w:space="0" w:color="auto"/>
              <w:right w:val="single" w:sz="4" w:space="0" w:color="auto"/>
            </w:tcBorders>
            <w:shd w:val="clear" w:color="auto" w:fill="auto"/>
            <w:noWrap/>
            <w:vAlign w:val="bottom"/>
            <w:hideMark/>
          </w:tcPr>
          <w:p w:rsidR="00184E73" w:rsidRPr="00995B4F" w:rsidRDefault="00184E73" w:rsidP="00184E73">
            <w:pPr>
              <w:rPr>
                <w:rFonts w:eastAsia="Times New Roman"/>
                <w:b/>
                <w:sz w:val="16"/>
                <w:szCs w:val="16"/>
              </w:rPr>
            </w:pPr>
            <w:r w:rsidRPr="00995B4F">
              <w:rPr>
                <w:rFonts w:eastAsia="Times New Roman"/>
                <w:b/>
                <w:sz w:val="16"/>
                <w:szCs w:val="16"/>
              </w:rPr>
              <w:t> </w:t>
            </w:r>
          </w:p>
        </w:tc>
        <w:tc>
          <w:tcPr>
            <w:tcW w:w="1650" w:type="dxa"/>
            <w:tcBorders>
              <w:top w:val="nil"/>
              <w:left w:val="nil"/>
              <w:bottom w:val="single" w:sz="8"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-2,03%</w:t>
            </w:r>
          </w:p>
        </w:tc>
        <w:tc>
          <w:tcPr>
            <w:tcW w:w="1650" w:type="dxa"/>
            <w:tcBorders>
              <w:top w:val="nil"/>
              <w:left w:val="nil"/>
              <w:bottom w:val="single" w:sz="8"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6,75%</w:t>
            </w:r>
          </w:p>
        </w:tc>
        <w:tc>
          <w:tcPr>
            <w:tcW w:w="1650" w:type="dxa"/>
            <w:tcBorders>
              <w:top w:val="nil"/>
              <w:left w:val="nil"/>
              <w:bottom w:val="single" w:sz="8"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-17,64%</w:t>
            </w:r>
          </w:p>
        </w:tc>
        <w:tc>
          <w:tcPr>
            <w:tcW w:w="1650" w:type="dxa"/>
            <w:tcBorders>
              <w:top w:val="nil"/>
              <w:left w:val="nil"/>
              <w:bottom w:val="single" w:sz="8" w:space="0" w:color="auto"/>
              <w:right w:val="single" w:sz="4"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-14,89%</w:t>
            </w:r>
          </w:p>
        </w:tc>
        <w:tc>
          <w:tcPr>
            <w:tcW w:w="1650" w:type="dxa"/>
            <w:tcBorders>
              <w:top w:val="nil"/>
              <w:left w:val="nil"/>
              <w:bottom w:val="single" w:sz="8" w:space="0" w:color="auto"/>
              <w:right w:val="single" w:sz="8" w:space="0" w:color="auto"/>
            </w:tcBorders>
            <w:shd w:val="clear" w:color="auto" w:fill="auto"/>
            <w:noWrap/>
            <w:vAlign w:val="bottom"/>
            <w:hideMark/>
          </w:tcPr>
          <w:p w:rsidR="00184E73" w:rsidRPr="00995B4F" w:rsidRDefault="00184E73" w:rsidP="00184E73">
            <w:pPr>
              <w:jc w:val="right"/>
              <w:rPr>
                <w:rFonts w:eastAsia="Times New Roman"/>
                <w:b/>
                <w:sz w:val="16"/>
                <w:szCs w:val="16"/>
              </w:rPr>
            </w:pPr>
            <w:r w:rsidRPr="00995B4F">
              <w:rPr>
                <w:rFonts w:eastAsia="Times New Roman"/>
                <w:b/>
                <w:sz w:val="16"/>
                <w:szCs w:val="16"/>
              </w:rPr>
              <w:t>-14%</w:t>
            </w:r>
          </w:p>
        </w:tc>
      </w:tr>
    </w:tbl>
    <w:p w:rsidR="008B741D" w:rsidRDefault="008B741D" w:rsidP="008B741D">
      <w:pPr>
        <w:jc w:val="both"/>
        <w:rPr>
          <w:sz w:val="26"/>
          <w:szCs w:val="26"/>
        </w:rPr>
      </w:pPr>
    </w:p>
    <w:p w:rsidR="00DD7F3B" w:rsidRPr="00995B4F" w:rsidRDefault="008B741D" w:rsidP="008B741D">
      <w:pPr>
        <w:jc w:val="both"/>
      </w:pPr>
      <w:r w:rsidRPr="00995B4F">
        <w:t xml:space="preserve">Οι εμπορικές επιχειρήσεις αγωνίζονται κάθε μέρα να προσαρμοστούν στις νέες συνθήκες της αγοράς στις οποίες τον πρωταγωνιστικό ρόλο διαδραματίζουν τα μειωμένα οικογενειακά εισοδήματα και η χαμηλή καταναλωτική ζήτηση. Οι εκπτώσεις προβλέπεται να αποτελέσουν για πολλές εξ αυτών την ευκαιρία και την τελική δοκιμασία για τον επιχειρηματικό τους σχεδιασμό. </w:t>
      </w:r>
    </w:p>
    <w:sectPr w:rsidR="00DD7F3B" w:rsidRPr="00995B4F" w:rsidSect="004B0988">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C20"/>
    <w:multiLevelType w:val="hybridMultilevel"/>
    <w:tmpl w:val="472E26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68465A"/>
    <w:multiLevelType w:val="hybridMultilevel"/>
    <w:tmpl w:val="592092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EE6405F"/>
    <w:multiLevelType w:val="multilevel"/>
    <w:tmpl w:val="4EBC1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A5BA9"/>
    <w:rsid w:val="00043834"/>
    <w:rsid w:val="000E74D8"/>
    <w:rsid w:val="000F55C8"/>
    <w:rsid w:val="0013624F"/>
    <w:rsid w:val="00184E73"/>
    <w:rsid w:val="001B6B6D"/>
    <w:rsid w:val="001C0D72"/>
    <w:rsid w:val="00262794"/>
    <w:rsid w:val="002A5BA9"/>
    <w:rsid w:val="002B6DC1"/>
    <w:rsid w:val="003569B2"/>
    <w:rsid w:val="00357F03"/>
    <w:rsid w:val="0045591E"/>
    <w:rsid w:val="00481E4B"/>
    <w:rsid w:val="004B0988"/>
    <w:rsid w:val="006C3E3D"/>
    <w:rsid w:val="006C47EA"/>
    <w:rsid w:val="0072171F"/>
    <w:rsid w:val="008B138F"/>
    <w:rsid w:val="008B741D"/>
    <w:rsid w:val="00935064"/>
    <w:rsid w:val="00995B4F"/>
    <w:rsid w:val="009A1B58"/>
    <w:rsid w:val="00A7204E"/>
    <w:rsid w:val="00A775B6"/>
    <w:rsid w:val="00AC363B"/>
    <w:rsid w:val="00B345F5"/>
    <w:rsid w:val="00B42EBD"/>
    <w:rsid w:val="00C5641A"/>
    <w:rsid w:val="00C57956"/>
    <w:rsid w:val="00CB1848"/>
    <w:rsid w:val="00CB779D"/>
    <w:rsid w:val="00D005A9"/>
    <w:rsid w:val="00D8652A"/>
    <w:rsid w:val="00DA79C3"/>
    <w:rsid w:val="00DD7F3B"/>
    <w:rsid w:val="00ED1B06"/>
    <w:rsid w:val="00FC4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A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B06"/>
    <w:pPr>
      <w:ind w:left="720"/>
      <w:contextualSpacing/>
    </w:pPr>
  </w:style>
  <w:style w:type="paragraph" w:styleId="a4">
    <w:name w:val="Balloon Text"/>
    <w:basedOn w:val="a"/>
    <w:link w:val="Char"/>
    <w:uiPriority w:val="99"/>
    <w:semiHidden/>
    <w:unhideWhenUsed/>
    <w:rsid w:val="00AC363B"/>
    <w:rPr>
      <w:rFonts w:ascii="Tahoma" w:hAnsi="Tahoma" w:cs="Tahoma"/>
      <w:sz w:val="16"/>
      <w:szCs w:val="16"/>
    </w:rPr>
  </w:style>
  <w:style w:type="character" w:customStyle="1" w:styleId="Char">
    <w:name w:val="Κείμενο πλαισίου Char"/>
    <w:basedOn w:val="a0"/>
    <w:link w:val="a4"/>
    <w:uiPriority w:val="99"/>
    <w:semiHidden/>
    <w:rsid w:val="00AC363B"/>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88120279">
      <w:bodyDiv w:val="1"/>
      <w:marLeft w:val="0"/>
      <w:marRight w:val="0"/>
      <w:marTop w:val="0"/>
      <w:marBottom w:val="0"/>
      <w:divBdr>
        <w:top w:val="none" w:sz="0" w:space="0" w:color="auto"/>
        <w:left w:val="none" w:sz="0" w:space="0" w:color="auto"/>
        <w:bottom w:val="none" w:sz="0" w:space="0" w:color="auto"/>
        <w:right w:val="none" w:sz="0" w:space="0" w:color="auto"/>
      </w:divBdr>
    </w:div>
    <w:div w:id="1342388830">
      <w:bodyDiv w:val="1"/>
      <w:marLeft w:val="0"/>
      <w:marRight w:val="0"/>
      <w:marTop w:val="0"/>
      <w:marBottom w:val="0"/>
      <w:divBdr>
        <w:top w:val="none" w:sz="0" w:space="0" w:color="auto"/>
        <w:left w:val="none" w:sz="0" w:space="0" w:color="auto"/>
        <w:bottom w:val="none" w:sz="0" w:space="0" w:color="auto"/>
        <w:right w:val="none" w:sz="0" w:space="0" w:color="auto"/>
      </w:divBdr>
    </w:div>
    <w:div w:id="16599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http://www.statistics.gr/portal/page/portal/ESYE/BUCKET/A0508/Other/A0508_DKT39_TS_MM_01_2000_10_2013_03_P_G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6.5071603236515368E-2"/>
          <c:y val="4.6303288025218936E-2"/>
          <c:w val="0.91182791147140063"/>
          <c:h val="0.67575891819027134"/>
        </c:manualLayout>
      </c:layout>
      <c:lineChart>
        <c:grouping val="stacked"/>
        <c:ser>
          <c:idx val="0"/>
          <c:order val="0"/>
          <c:cat>
            <c:multiLvlStrRef>
              <c:f>'ΠΙΝΑΚΑΣ 1'!$S$171:$T$204</c:f>
              <c:multiLvlStrCache>
                <c:ptCount val="34"/>
                <c:lvl>
                  <c:pt idx="0">
                    <c:v>I</c:v>
                  </c:pt>
                  <c:pt idx="1">
                    <c:v>II</c:v>
                  </c:pt>
                  <c:pt idx="2">
                    <c:v>III</c:v>
                  </c:pt>
                  <c:pt idx="3">
                    <c:v>IV</c:v>
                  </c:pt>
                  <c:pt idx="4">
                    <c:v>V</c:v>
                  </c:pt>
                  <c:pt idx="5">
                    <c:v>VI</c:v>
                  </c:pt>
                  <c:pt idx="6">
                    <c:v>VII</c:v>
                  </c:pt>
                  <c:pt idx="7">
                    <c:v>VIII</c:v>
                  </c:pt>
                  <c:pt idx="8">
                    <c:v>ΙΧ</c:v>
                  </c:pt>
                  <c:pt idx="9">
                    <c:v>Χ</c:v>
                  </c:pt>
                  <c:pt idx="10">
                    <c:v>ΧΙ</c:v>
                  </c:pt>
                  <c:pt idx="11">
                    <c:v>ΧΙΙ</c:v>
                  </c:pt>
                  <c:pt idx="12">
                    <c:v>I</c:v>
                  </c:pt>
                  <c:pt idx="13">
                    <c:v>II</c:v>
                  </c:pt>
                  <c:pt idx="14">
                    <c:v>III</c:v>
                  </c:pt>
                  <c:pt idx="15">
                    <c:v>IV</c:v>
                  </c:pt>
                  <c:pt idx="16">
                    <c:v>V</c:v>
                  </c:pt>
                  <c:pt idx="17">
                    <c:v>VI</c:v>
                  </c:pt>
                  <c:pt idx="18">
                    <c:v>VII</c:v>
                  </c:pt>
                  <c:pt idx="19">
                    <c:v>VIII</c:v>
                  </c:pt>
                  <c:pt idx="20">
                    <c:v>ΙΧ</c:v>
                  </c:pt>
                  <c:pt idx="21">
                    <c:v>Χ</c:v>
                  </c:pt>
                  <c:pt idx="22">
                    <c:v>ΧΙ</c:v>
                  </c:pt>
                  <c:pt idx="23">
                    <c:v>ΧΙΙ</c:v>
                  </c:pt>
                  <c:pt idx="24">
                    <c:v>I</c:v>
                  </c:pt>
                  <c:pt idx="25">
                    <c:v>II</c:v>
                  </c:pt>
                  <c:pt idx="26">
                    <c:v>III</c:v>
                  </c:pt>
                  <c:pt idx="27">
                    <c:v>IV</c:v>
                  </c:pt>
                  <c:pt idx="28">
                    <c:v>V</c:v>
                  </c:pt>
                  <c:pt idx="29">
                    <c:v>VI</c:v>
                  </c:pt>
                  <c:pt idx="30">
                    <c:v>VII</c:v>
                  </c:pt>
                  <c:pt idx="31">
                    <c:v>VIII</c:v>
                  </c:pt>
                  <c:pt idx="32">
                    <c:v>IX</c:v>
                  </c:pt>
                  <c:pt idx="33">
                    <c:v>X</c:v>
                  </c:pt>
                </c:lvl>
                <c:lvl>
                  <c:pt idx="0">
                    <c:v>2011</c:v>
                  </c:pt>
                  <c:pt idx="12">
                    <c:v>2012</c:v>
                  </c:pt>
                  <c:pt idx="27">
                    <c:v>2013</c:v>
                  </c:pt>
                </c:lvl>
              </c:multiLvlStrCache>
            </c:multiLvlStrRef>
          </c:cat>
          <c:val>
            <c:numRef>
              <c:f>'ΠΙΝΑΚΑΣ 1'!$U$171:$U$204</c:f>
              <c:numCache>
                <c:formatCode>0.0</c:formatCode>
                <c:ptCount val="34"/>
                <c:pt idx="0" formatCode="General">
                  <c:v>92.2</c:v>
                </c:pt>
                <c:pt idx="1">
                  <c:v>80</c:v>
                </c:pt>
                <c:pt idx="2" formatCode="General">
                  <c:v>64.2</c:v>
                </c:pt>
                <c:pt idx="3" formatCode="General">
                  <c:v>95.4</c:v>
                </c:pt>
                <c:pt idx="4">
                  <c:v>75</c:v>
                </c:pt>
                <c:pt idx="5">
                  <c:v>79.2</c:v>
                </c:pt>
                <c:pt idx="6" formatCode="General">
                  <c:v>81.099999999999994</c:v>
                </c:pt>
                <c:pt idx="7" formatCode="General">
                  <c:v>62.9</c:v>
                </c:pt>
                <c:pt idx="8" formatCode="General">
                  <c:v>60.5</c:v>
                </c:pt>
                <c:pt idx="9" formatCode="General">
                  <c:v>75.599999999999994</c:v>
                </c:pt>
                <c:pt idx="10" formatCode="General">
                  <c:v>73.3</c:v>
                </c:pt>
                <c:pt idx="11" formatCode="General">
                  <c:v>95.5</c:v>
                </c:pt>
                <c:pt idx="12" formatCode="General">
                  <c:v>74.7</c:v>
                </c:pt>
                <c:pt idx="13" formatCode="General">
                  <c:v>57.3</c:v>
                </c:pt>
                <c:pt idx="14" formatCode="General">
                  <c:v>54.2</c:v>
                </c:pt>
                <c:pt idx="15" formatCode="General">
                  <c:v>69.400000000000006</c:v>
                </c:pt>
                <c:pt idx="16" formatCode="General">
                  <c:v>60.3</c:v>
                </c:pt>
                <c:pt idx="17" formatCode="General">
                  <c:v>60.5</c:v>
                </c:pt>
                <c:pt idx="18">
                  <c:v>66.099999999999994</c:v>
                </c:pt>
                <c:pt idx="19" formatCode="General">
                  <c:v>53.6</c:v>
                </c:pt>
                <c:pt idx="20" formatCode="General">
                  <c:v>53.8</c:v>
                </c:pt>
                <c:pt idx="21" formatCode="General">
                  <c:v>55.5</c:v>
                </c:pt>
                <c:pt idx="22" formatCode="General">
                  <c:v>58.4</c:v>
                </c:pt>
                <c:pt idx="23" formatCode="General">
                  <c:v>87.2</c:v>
                </c:pt>
                <c:pt idx="24">
                  <c:v>62</c:v>
                </c:pt>
                <c:pt idx="25" formatCode="General">
                  <c:v>56.5</c:v>
                </c:pt>
                <c:pt idx="26" formatCode="General">
                  <c:v>46.4</c:v>
                </c:pt>
                <c:pt idx="27" formatCode="General">
                  <c:v>63.6</c:v>
                </c:pt>
                <c:pt idx="28">
                  <c:v>67</c:v>
                </c:pt>
                <c:pt idx="29">
                  <c:v>58.1</c:v>
                </c:pt>
                <c:pt idx="30" formatCode="General">
                  <c:v>60.5</c:v>
                </c:pt>
                <c:pt idx="31" formatCode="General">
                  <c:v>50.1</c:v>
                </c:pt>
                <c:pt idx="32" formatCode="General">
                  <c:v>51.9</c:v>
                </c:pt>
                <c:pt idx="33">
                  <c:v>64</c:v>
                </c:pt>
              </c:numCache>
            </c:numRef>
          </c:val>
        </c:ser>
        <c:marker val="1"/>
        <c:axId val="89668992"/>
        <c:axId val="89781376"/>
      </c:lineChart>
      <c:catAx>
        <c:axId val="89668992"/>
        <c:scaling>
          <c:orientation val="minMax"/>
        </c:scaling>
        <c:axPos val="b"/>
        <c:tickLblPos val="nextTo"/>
        <c:crossAx val="89781376"/>
        <c:crosses val="autoZero"/>
        <c:auto val="1"/>
        <c:lblAlgn val="ctr"/>
        <c:lblOffset val="100"/>
      </c:catAx>
      <c:valAx>
        <c:axId val="89781376"/>
        <c:scaling>
          <c:orientation val="minMax"/>
        </c:scaling>
        <c:axPos val="l"/>
        <c:majorGridlines/>
        <c:numFmt formatCode="General" sourceLinked="1"/>
        <c:tickLblPos val="nextTo"/>
        <c:crossAx val="89668992"/>
        <c:crosses val="autoZero"/>
        <c:crossBetween val="between"/>
      </c:valAx>
    </c:plotArea>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3300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dgounari</dc:creator>
  <cp:lastModifiedBy>ΝΙΚΟΣ</cp:lastModifiedBy>
  <cp:revision>2</cp:revision>
  <dcterms:created xsi:type="dcterms:W3CDTF">2014-01-12T10:31:00Z</dcterms:created>
  <dcterms:modified xsi:type="dcterms:W3CDTF">2014-01-12T10:31:00Z</dcterms:modified>
</cp:coreProperties>
</file>