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0E" w:rsidRDefault="00DD410E" w:rsidP="00715451">
      <w:pPr>
        <w:pStyle w:val="Heading21"/>
        <w:ind w:right="97"/>
        <w:jc w:val="center"/>
        <w:rPr>
          <w:rFonts w:ascii="Times New Roman" w:hAnsi="Times New Roman" w:cs="Times New Roman"/>
          <w:lang w:val="el-GR"/>
        </w:rPr>
      </w:pPr>
      <w:r w:rsidRPr="00A141DB">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244.5pt;height:72.75pt;visibility:visible">
            <v:imagedata r:id="rId7" o:title=""/>
          </v:shape>
        </w:pict>
      </w:r>
    </w:p>
    <w:p w:rsidR="00DD410E" w:rsidRPr="004640A6" w:rsidRDefault="00DD410E" w:rsidP="00715451">
      <w:pPr>
        <w:pStyle w:val="Heading21"/>
        <w:ind w:left="5040" w:right="97" w:firstLine="720"/>
        <w:jc w:val="center"/>
        <w:rPr>
          <w:rFonts w:ascii="Times New Roman" w:hAnsi="Times New Roman" w:cs="Times New Roman"/>
          <w:b w:val="0"/>
          <w:bCs w:val="0"/>
          <w:lang w:val="el-GR"/>
        </w:rPr>
      </w:pPr>
      <w:r w:rsidRPr="004640A6">
        <w:rPr>
          <w:rFonts w:ascii="Times New Roman" w:hAnsi="Times New Roman" w:cs="Times New Roman"/>
          <w:b w:val="0"/>
          <w:bCs w:val="0"/>
          <w:lang w:val="el-GR"/>
        </w:rPr>
        <w:t>Αθήνα, 12 Μαΐου</w:t>
      </w:r>
      <w:r w:rsidRPr="004640A6">
        <w:rPr>
          <w:rFonts w:ascii="Times New Roman" w:hAnsi="Times New Roman" w:cs="Times New Roman"/>
          <w:b w:val="0"/>
          <w:bCs w:val="0"/>
          <w:spacing w:val="1"/>
          <w:lang w:val="el-GR"/>
        </w:rPr>
        <w:t xml:space="preserve"> </w:t>
      </w:r>
      <w:r w:rsidRPr="004640A6">
        <w:rPr>
          <w:rFonts w:ascii="Times New Roman" w:hAnsi="Times New Roman" w:cs="Times New Roman"/>
          <w:b w:val="0"/>
          <w:bCs w:val="0"/>
          <w:lang w:val="el-GR"/>
        </w:rPr>
        <w:t>2015</w:t>
      </w:r>
    </w:p>
    <w:p w:rsidR="00DD410E" w:rsidRPr="004640A6" w:rsidRDefault="00DD410E" w:rsidP="00DA2A01">
      <w:pPr>
        <w:spacing w:before="5" w:line="120" w:lineRule="exact"/>
        <w:rPr>
          <w:rFonts w:ascii="Times New Roman" w:hAnsi="Times New Roman" w:cs="Times New Roman"/>
          <w:sz w:val="24"/>
          <w:szCs w:val="24"/>
          <w:lang w:val="el-GR"/>
        </w:rPr>
      </w:pPr>
    </w:p>
    <w:p w:rsidR="00DD410E" w:rsidRPr="004640A6" w:rsidRDefault="00DD410E" w:rsidP="00DA2A01">
      <w:pPr>
        <w:spacing w:before="69"/>
        <w:jc w:val="center"/>
        <w:rPr>
          <w:rFonts w:ascii="Times New Roman" w:hAnsi="Times New Roman" w:cs="Times New Roman"/>
          <w:sz w:val="24"/>
          <w:szCs w:val="24"/>
          <w:u w:val="single"/>
          <w:lang w:val="el-GR"/>
        </w:rPr>
      </w:pPr>
      <w:r w:rsidRPr="004640A6">
        <w:rPr>
          <w:rFonts w:ascii="Times New Roman" w:hAnsi="Times New Roman" w:cs="Times New Roman"/>
          <w:sz w:val="24"/>
          <w:szCs w:val="24"/>
          <w:u w:val="single"/>
          <w:lang w:val="el-GR"/>
        </w:rPr>
        <w:t>ΔΕΛΤΙΟ</w:t>
      </w:r>
      <w:r w:rsidRPr="004640A6">
        <w:rPr>
          <w:rFonts w:ascii="Times New Roman" w:hAnsi="Times New Roman" w:cs="Times New Roman"/>
          <w:spacing w:val="-2"/>
          <w:sz w:val="24"/>
          <w:szCs w:val="24"/>
          <w:u w:val="single"/>
          <w:lang w:val="el-GR"/>
        </w:rPr>
        <w:t xml:space="preserve"> </w:t>
      </w:r>
      <w:r w:rsidRPr="004640A6">
        <w:rPr>
          <w:rFonts w:ascii="Times New Roman" w:hAnsi="Times New Roman" w:cs="Times New Roman"/>
          <w:sz w:val="24"/>
          <w:szCs w:val="24"/>
          <w:u w:val="single"/>
          <w:lang w:val="el-GR"/>
        </w:rPr>
        <w:t>Τ</w:t>
      </w:r>
      <w:r w:rsidRPr="004640A6">
        <w:rPr>
          <w:rFonts w:ascii="Times New Roman" w:hAnsi="Times New Roman" w:cs="Times New Roman"/>
          <w:spacing w:val="-1"/>
          <w:sz w:val="24"/>
          <w:szCs w:val="24"/>
          <w:u w:val="single"/>
          <w:lang w:val="el-GR"/>
        </w:rPr>
        <w:t>Υ</w:t>
      </w:r>
      <w:r w:rsidRPr="004640A6">
        <w:rPr>
          <w:rFonts w:ascii="Times New Roman" w:hAnsi="Times New Roman" w:cs="Times New Roman"/>
          <w:sz w:val="24"/>
          <w:szCs w:val="24"/>
          <w:u w:val="single"/>
          <w:lang w:val="el-GR"/>
        </w:rPr>
        <w:t>ΠΟΥ</w:t>
      </w:r>
    </w:p>
    <w:p w:rsidR="00DD410E" w:rsidRPr="00715451" w:rsidRDefault="00DD410E" w:rsidP="00DA2A01">
      <w:pPr>
        <w:spacing w:before="16" w:line="260" w:lineRule="exact"/>
        <w:rPr>
          <w:rFonts w:ascii="Times New Roman" w:hAnsi="Times New Roman" w:cs="Times New Roman"/>
          <w:sz w:val="24"/>
          <w:szCs w:val="24"/>
          <w:lang w:val="el-GR"/>
        </w:rPr>
      </w:pPr>
    </w:p>
    <w:p w:rsidR="00DD410E" w:rsidRPr="00715451" w:rsidRDefault="00DD410E" w:rsidP="00DA2A01">
      <w:pPr>
        <w:jc w:val="center"/>
        <w:rPr>
          <w:rFonts w:ascii="Times New Roman" w:hAnsi="Times New Roman" w:cs="Times New Roman"/>
          <w:sz w:val="24"/>
          <w:szCs w:val="24"/>
          <w:lang w:val="el-GR"/>
        </w:rPr>
      </w:pPr>
      <w:r w:rsidRPr="00715451">
        <w:rPr>
          <w:rFonts w:ascii="Times New Roman" w:hAnsi="Times New Roman" w:cs="Times New Roman"/>
          <w:b/>
          <w:bCs/>
          <w:sz w:val="24"/>
          <w:szCs w:val="24"/>
          <w:lang w:val="el-GR"/>
        </w:rPr>
        <w:t>«Τα απο</w:t>
      </w:r>
      <w:r w:rsidRPr="00715451">
        <w:rPr>
          <w:rFonts w:ascii="Times New Roman" w:hAnsi="Times New Roman" w:cs="Times New Roman"/>
          <w:b/>
          <w:bCs/>
          <w:spacing w:val="-1"/>
          <w:sz w:val="24"/>
          <w:szCs w:val="24"/>
          <w:lang w:val="el-GR"/>
        </w:rPr>
        <w:t>τ</w:t>
      </w:r>
      <w:r w:rsidRPr="00715451">
        <w:rPr>
          <w:rFonts w:ascii="Times New Roman" w:hAnsi="Times New Roman" w:cs="Times New Roman"/>
          <w:b/>
          <w:bCs/>
          <w:sz w:val="24"/>
          <w:szCs w:val="24"/>
          <w:lang w:val="el-GR"/>
        </w:rPr>
        <w:t>ε</w:t>
      </w:r>
      <w:r w:rsidRPr="00715451">
        <w:rPr>
          <w:rFonts w:ascii="Times New Roman" w:hAnsi="Times New Roman" w:cs="Times New Roman"/>
          <w:b/>
          <w:bCs/>
          <w:spacing w:val="-1"/>
          <w:sz w:val="24"/>
          <w:szCs w:val="24"/>
          <w:lang w:val="el-GR"/>
        </w:rPr>
        <w:t>λ</w:t>
      </w:r>
      <w:r w:rsidRPr="00715451">
        <w:rPr>
          <w:rFonts w:ascii="Times New Roman" w:hAnsi="Times New Roman" w:cs="Times New Roman"/>
          <w:b/>
          <w:bCs/>
          <w:sz w:val="24"/>
          <w:szCs w:val="24"/>
          <w:lang w:val="el-GR"/>
        </w:rPr>
        <w:t>έ</w:t>
      </w:r>
      <w:r w:rsidRPr="00715451">
        <w:rPr>
          <w:rFonts w:ascii="Times New Roman" w:hAnsi="Times New Roman" w:cs="Times New Roman"/>
          <w:b/>
          <w:bCs/>
          <w:spacing w:val="-1"/>
          <w:sz w:val="24"/>
          <w:szCs w:val="24"/>
          <w:lang w:val="el-GR"/>
        </w:rPr>
        <w:t>σ</w:t>
      </w:r>
      <w:r w:rsidRPr="00715451">
        <w:rPr>
          <w:rFonts w:ascii="Times New Roman" w:hAnsi="Times New Roman" w:cs="Times New Roman"/>
          <w:b/>
          <w:bCs/>
          <w:sz w:val="24"/>
          <w:szCs w:val="24"/>
          <w:lang w:val="el-GR"/>
        </w:rPr>
        <w:t>μα</w:t>
      </w:r>
      <w:r w:rsidRPr="00715451">
        <w:rPr>
          <w:rFonts w:ascii="Times New Roman" w:hAnsi="Times New Roman" w:cs="Times New Roman"/>
          <w:b/>
          <w:bCs/>
          <w:spacing w:val="-1"/>
          <w:sz w:val="24"/>
          <w:szCs w:val="24"/>
          <w:lang w:val="el-GR"/>
        </w:rPr>
        <w:t>τ</w:t>
      </w:r>
      <w:r w:rsidRPr="00715451">
        <w:rPr>
          <w:rFonts w:ascii="Times New Roman" w:hAnsi="Times New Roman" w:cs="Times New Roman"/>
          <w:b/>
          <w:bCs/>
          <w:sz w:val="24"/>
          <w:szCs w:val="24"/>
          <w:lang w:val="el-GR"/>
        </w:rPr>
        <w:t xml:space="preserve">α </w:t>
      </w:r>
      <w:r w:rsidRPr="00715451">
        <w:rPr>
          <w:rFonts w:ascii="Times New Roman" w:hAnsi="Times New Roman" w:cs="Times New Roman"/>
          <w:b/>
          <w:bCs/>
          <w:spacing w:val="-3"/>
          <w:sz w:val="24"/>
          <w:szCs w:val="24"/>
          <w:lang w:val="el-GR"/>
        </w:rPr>
        <w:t>τ</w:t>
      </w:r>
      <w:r w:rsidRPr="00715451">
        <w:rPr>
          <w:rFonts w:ascii="Times New Roman" w:hAnsi="Times New Roman" w:cs="Times New Roman"/>
          <w:b/>
          <w:bCs/>
          <w:spacing w:val="2"/>
          <w:sz w:val="24"/>
          <w:szCs w:val="24"/>
          <w:lang w:val="el-GR"/>
        </w:rPr>
        <w:t>ω</w:t>
      </w:r>
      <w:r w:rsidRPr="00715451">
        <w:rPr>
          <w:rFonts w:ascii="Times New Roman" w:hAnsi="Times New Roman" w:cs="Times New Roman"/>
          <w:b/>
          <w:bCs/>
          <w:sz w:val="24"/>
          <w:szCs w:val="24"/>
          <w:lang w:val="el-GR"/>
        </w:rPr>
        <w:t>ν</w:t>
      </w:r>
      <w:r w:rsidRPr="00715451">
        <w:rPr>
          <w:rFonts w:ascii="Times New Roman" w:hAnsi="Times New Roman" w:cs="Times New Roman"/>
          <w:b/>
          <w:bCs/>
          <w:spacing w:val="-2"/>
          <w:sz w:val="24"/>
          <w:szCs w:val="24"/>
          <w:lang w:val="el-GR"/>
        </w:rPr>
        <w:t xml:space="preserve"> </w:t>
      </w:r>
      <w:r w:rsidRPr="00715451">
        <w:rPr>
          <w:rFonts w:ascii="Times New Roman" w:hAnsi="Times New Roman" w:cs="Times New Roman"/>
          <w:b/>
          <w:bCs/>
          <w:sz w:val="24"/>
          <w:szCs w:val="24"/>
          <w:lang w:val="el-GR"/>
        </w:rPr>
        <w:t>ενδιάμε</w:t>
      </w:r>
      <w:r w:rsidRPr="00715451">
        <w:rPr>
          <w:rFonts w:ascii="Times New Roman" w:hAnsi="Times New Roman" w:cs="Times New Roman"/>
          <w:b/>
          <w:bCs/>
          <w:spacing w:val="-4"/>
          <w:sz w:val="24"/>
          <w:szCs w:val="24"/>
          <w:lang w:val="el-GR"/>
        </w:rPr>
        <w:t>σ</w:t>
      </w:r>
      <w:r w:rsidRPr="00715451">
        <w:rPr>
          <w:rFonts w:ascii="Times New Roman" w:hAnsi="Times New Roman" w:cs="Times New Roman"/>
          <w:b/>
          <w:bCs/>
          <w:spacing w:val="2"/>
          <w:sz w:val="24"/>
          <w:szCs w:val="24"/>
          <w:lang w:val="el-GR"/>
        </w:rPr>
        <w:t>ω</w:t>
      </w:r>
      <w:r w:rsidRPr="00715451">
        <w:rPr>
          <w:rFonts w:ascii="Times New Roman" w:hAnsi="Times New Roman" w:cs="Times New Roman"/>
          <w:b/>
          <w:bCs/>
          <w:sz w:val="24"/>
          <w:szCs w:val="24"/>
          <w:lang w:val="el-GR"/>
        </w:rPr>
        <w:t>ν</w:t>
      </w:r>
      <w:r w:rsidRPr="00715451">
        <w:rPr>
          <w:rFonts w:ascii="Times New Roman" w:hAnsi="Times New Roman" w:cs="Times New Roman"/>
          <w:b/>
          <w:bCs/>
          <w:spacing w:val="-2"/>
          <w:sz w:val="24"/>
          <w:szCs w:val="24"/>
          <w:lang w:val="el-GR"/>
        </w:rPr>
        <w:t xml:space="preserve"> </w:t>
      </w:r>
      <w:r w:rsidRPr="00715451">
        <w:rPr>
          <w:rFonts w:ascii="Times New Roman" w:hAnsi="Times New Roman" w:cs="Times New Roman"/>
          <w:b/>
          <w:bCs/>
          <w:sz w:val="24"/>
          <w:szCs w:val="24"/>
          <w:lang w:val="el-GR"/>
        </w:rPr>
        <w:t>ε</w:t>
      </w:r>
      <w:r w:rsidRPr="00715451">
        <w:rPr>
          <w:rFonts w:ascii="Times New Roman" w:hAnsi="Times New Roman" w:cs="Times New Roman"/>
          <w:b/>
          <w:bCs/>
          <w:spacing w:val="1"/>
          <w:sz w:val="24"/>
          <w:szCs w:val="24"/>
          <w:lang w:val="el-GR"/>
        </w:rPr>
        <w:t>κ</w:t>
      </w:r>
      <w:r w:rsidRPr="00715451">
        <w:rPr>
          <w:rFonts w:ascii="Times New Roman" w:hAnsi="Times New Roman" w:cs="Times New Roman"/>
          <w:b/>
          <w:bCs/>
          <w:sz w:val="24"/>
          <w:szCs w:val="24"/>
          <w:lang w:val="el-GR"/>
        </w:rPr>
        <w:t>π</w:t>
      </w:r>
      <w:r w:rsidRPr="00715451">
        <w:rPr>
          <w:rFonts w:ascii="Times New Roman" w:hAnsi="Times New Roman" w:cs="Times New Roman"/>
          <w:b/>
          <w:bCs/>
          <w:spacing w:val="-3"/>
          <w:sz w:val="24"/>
          <w:szCs w:val="24"/>
          <w:lang w:val="el-GR"/>
        </w:rPr>
        <w:t>τ</w:t>
      </w:r>
      <w:r w:rsidRPr="00715451">
        <w:rPr>
          <w:rFonts w:ascii="Times New Roman" w:hAnsi="Times New Roman" w:cs="Times New Roman"/>
          <w:b/>
          <w:bCs/>
          <w:spacing w:val="2"/>
          <w:sz w:val="24"/>
          <w:szCs w:val="24"/>
          <w:lang w:val="el-GR"/>
        </w:rPr>
        <w:t>ώ</w:t>
      </w:r>
      <w:r w:rsidRPr="00715451">
        <w:rPr>
          <w:rFonts w:ascii="Times New Roman" w:hAnsi="Times New Roman" w:cs="Times New Roman"/>
          <w:b/>
          <w:bCs/>
          <w:spacing w:val="-1"/>
          <w:sz w:val="24"/>
          <w:szCs w:val="24"/>
          <w:lang w:val="el-GR"/>
        </w:rPr>
        <w:t>σ</w:t>
      </w:r>
      <w:r w:rsidRPr="00715451">
        <w:rPr>
          <w:rFonts w:ascii="Times New Roman" w:hAnsi="Times New Roman" w:cs="Times New Roman"/>
          <w:b/>
          <w:bCs/>
          <w:spacing w:val="-2"/>
          <w:sz w:val="24"/>
          <w:szCs w:val="24"/>
          <w:lang w:val="el-GR"/>
        </w:rPr>
        <w:t>ε</w:t>
      </w:r>
      <w:r w:rsidRPr="00715451">
        <w:rPr>
          <w:rFonts w:ascii="Times New Roman" w:hAnsi="Times New Roman" w:cs="Times New Roman"/>
          <w:b/>
          <w:bCs/>
          <w:spacing w:val="2"/>
          <w:sz w:val="24"/>
          <w:szCs w:val="24"/>
          <w:lang w:val="el-GR"/>
        </w:rPr>
        <w:t>ω</w:t>
      </w:r>
      <w:r w:rsidRPr="00715451">
        <w:rPr>
          <w:rFonts w:ascii="Times New Roman" w:hAnsi="Times New Roman" w:cs="Times New Roman"/>
          <w:b/>
          <w:bCs/>
          <w:sz w:val="24"/>
          <w:szCs w:val="24"/>
          <w:lang w:val="el-GR"/>
        </w:rPr>
        <w:t>ν</w:t>
      </w:r>
      <w:r w:rsidRPr="00715451">
        <w:rPr>
          <w:rFonts w:ascii="Times New Roman" w:hAnsi="Times New Roman" w:cs="Times New Roman"/>
          <w:b/>
          <w:bCs/>
          <w:spacing w:val="-2"/>
          <w:sz w:val="24"/>
          <w:szCs w:val="24"/>
          <w:lang w:val="el-GR"/>
        </w:rPr>
        <w:t xml:space="preserve"> </w:t>
      </w:r>
      <w:r w:rsidRPr="00715451">
        <w:rPr>
          <w:rFonts w:ascii="Times New Roman" w:hAnsi="Times New Roman" w:cs="Times New Roman"/>
          <w:b/>
          <w:bCs/>
          <w:spacing w:val="-1"/>
          <w:sz w:val="24"/>
          <w:szCs w:val="24"/>
          <w:lang w:val="el-GR"/>
        </w:rPr>
        <w:t>2</w:t>
      </w:r>
      <w:r w:rsidRPr="00715451">
        <w:rPr>
          <w:rFonts w:ascii="Times New Roman" w:hAnsi="Times New Roman" w:cs="Times New Roman"/>
          <w:b/>
          <w:bCs/>
          <w:sz w:val="24"/>
          <w:szCs w:val="24"/>
          <w:lang w:val="el-GR"/>
        </w:rPr>
        <w:t>015 και της λειτουργίας των καταστημάτων την Κυριακή 3 Μαΐου»</w:t>
      </w:r>
    </w:p>
    <w:p w:rsidR="00DD410E" w:rsidRPr="00715451" w:rsidRDefault="00DD410E" w:rsidP="00DA2A01">
      <w:pPr>
        <w:pStyle w:val="Heading21"/>
        <w:ind w:right="97"/>
        <w:jc w:val="center"/>
        <w:rPr>
          <w:rFonts w:ascii="Times New Roman" w:hAnsi="Times New Roman" w:cs="Times New Roman"/>
          <w:lang w:val="el-GR"/>
        </w:rPr>
      </w:pPr>
    </w:p>
    <w:p w:rsidR="00DD410E" w:rsidRPr="00715451" w:rsidRDefault="00DD410E" w:rsidP="00A02450">
      <w:pPr>
        <w:spacing w:before="120" w:line="276" w:lineRule="auto"/>
        <w:ind w:left="119" w:right="221"/>
        <w:jc w:val="both"/>
        <w:rPr>
          <w:rFonts w:ascii="Times New Roman" w:hAnsi="Times New Roman" w:cs="Times New Roman"/>
          <w:spacing w:val="-1"/>
          <w:sz w:val="24"/>
          <w:szCs w:val="24"/>
          <w:lang w:val="el-GR"/>
        </w:rPr>
      </w:pPr>
      <w:r w:rsidRPr="00715451">
        <w:rPr>
          <w:rFonts w:ascii="Times New Roman" w:hAnsi="Times New Roman" w:cs="Times New Roman"/>
          <w:spacing w:val="-1"/>
          <w:sz w:val="24"/>
          <w:szCs w:val="24"/>
          <w:lang w:val="el-GR"/>
        </w:rPr>
        <w:t>Η ΕΣΕΕ πραγματοποίησε την περιοδική έρευνα για τις ενδιάμεσες εκπτώσεις του δεκαημέρου 2-9 Μαΐου 2015 και διερεύνησε τη στάση και τις απόψεις του εμπορικού κόσμου για το άνοιγμα των καταστημάτων την πρώτη Κυριακή των εκπτώσεων.</w:t>
      </w:r>
    </w:p>
    <w:p w:rsidR="00DD410E" w:rsidRPr="00715451" w:rsidRDefault="00DD410E" w:rsidP="00A02450">
      <w:pPr>
        <w:spacing w:before="120" w:line="276" w:lineRule="auto"/>
        <w:ind w:left="119" w:right="221"/>
        <w:jc w:val="both"/>
        <w:rPr>
          <w:rFonts w:ascii="Times New Roman" w:hAnsi="Times New Roman" w:cs="Times New Roman"/>
          <w:spacing w:val="-1"/>
          <w:sz w:val="24"/>
          <w:szCs w:val="24"/>
          <w:lang w:val="el-GR"/>
        </w:rPr>
      </w:pPr>
      <w:r w:rsidRPr="00715451">
        <w:rPr>
          <w:rFonts w:ascii="Times New Roman" w:hAnsi="Times New Roman" w:cs="Times New Roman"/>
          <w:spacing w:val="-1"/>
          <w:sz w:val="24"/>
          <w:szCs w:val="24"/>
          <w:lang w:val="el-GR"/>
        </w:rPr>
        <w:t xml:space="preserve">Η έρευνα διενεργήθηκε σε δύο στάδια. Το διάστημα 5-6 Μαΐου πραγματοποιήθηκε τηλεφωνική έρευνα με δομημένο ερωτηματολόγιο σε πανελλαδικό δείγμα 100 επιχειρήσεων και σε Εκπροσώπους Εμπορικών Συλλόγων, αναφορικά με την λειτουργία των καταστημάτων την Κυριακή 3 Μαΐου.  Η δεύτερη φάση της έρευνας υλοποιήθηκε μετά τη λήξη του ενδιάμεσου εκπτωτικού δεκαημέρου όπου πραγματοποιήθηκαν τηλεφωνικές συνεντεύξεις στους Εκπροσώπους των Εμπορικών Συλλόγων και ζητήθηκαν οι εκτιμήσεις τους για την κίνηση της αγοράς το διάστημα αναφοράς. </w:t>
      </w:r>
    </w:p>
    <w:p w:rsidR="00DD410E" w:rsidRPr="00715451" w:rsidRDefault="00DD410E" w:rsidP="00DA2A01">
      <w:pPr>
        <w:pStyle w:val="Heading21"/>
        <w:ind w:right="97"/>
        <w:jc w:val="center"/>
        <w:rPr>
          <w:rFonts w:ascii="Times New Roman" w:hAnsi="Times New Roman" w:cs="Times New Roman"/>
          <w:lang w:val="el-GR"/>
        </w:rPr>
      </w:pPr>
    </w:p>
    <w:p w:rsidR="00DD410E" w:rsidRPr="00715451" w:rsidRDefault="00DD410E" w:rsidP="00A11A9A">
      <w:pPr>
        <w:jc w:val="both"/>
        <w:rPr>
          <w:rFonts w:ascii="Times New Roman" w:hAnsi="Times New Roman" w:cs="Times New Roman"/>
          <w:b/>
          <w:bCs/>
          <w:sz w:val="24"/>
          <w:szCs w:val="24"/>
          <w:u w:val="single"/>
          <w:lang w:val="el-GR"/>
        </w:rPr>
      </w:pPr>
      <w:r w:rsidRPr="00715451">
        <w:rPr>
          <w:rFonts w:ascii="Times New Roman" w:hAnsi="Times New Roman" w:cs="Times New Roman"/>
          <w:b/>
          <w:bCs/>
          <w:sz w:val="24"/>
          <w:szCs w:val="24"/>
          <w:u w:val="single"/>
          <w:lang w:val="el-GR"/>
        </w:rPr>
        <w:t>ΒΑΣΙΚΕΣ ΔΙΑΠΙΣΤΩΣΕΙΣ</w:t>
      </w:r>
    </w:p>
    <w:p w:rsidR="00DD410E" w:rsidRPr="00715451" w:rsidRDefault="00DD410E" w:rsidP="00A11A9A">
      <w:pPr>
        <w:jc w:val="both"/>
        <w:rPr>
          <w:rFonts w:ascii="Times New Roman" w:hAnsi="Times New Roman" w:cs="Times New Roman"/>
          <w:sz w:val="24"/>
          <w:szCs w:val="24"/>
          <w:lang w:val="el-GR"/>
        </w:rPr>
      </w:pPr>
    </w:p>
    <w:p w:rsidR="00DD410E" w:rsidRPr="00715451" w:rsidRDefault="00DD410E" w:rsidP="00A11A9A">
      <w:pPr>
        <w:pStyle w:val="ListParagraph"/>
        <w:numPr>
          <w:ilvl w:val="0"/>
          <w:numId w:val="4"/>
        </w:numPr>
        <w:spacing w:line="360" w:lineRule="auto"/>
        <w:jc w:val="both"/>
        <w:rPr>
          <w:rFonts w:ascii="Times New Roman" w:hAnsi="Times New Roman" w:cs="Times New Roman"/>
          <w:b/>
          <w:bCs/>
          <w:sz w:val="24"/>
          <w:szCs w:val="24"/>
          <w:u w:val="single"/>
        </w:rPr>
      </w:pPr>
      <w:r w:rsidRPr="00715451">
        <w:rPr>
          <w:rFonts w:ascii="Times New Roman" w:hAnsi="Times New Roman" w:cs="Times New Roman"/>
          <w:b/>
          <w:bCs/>
          <w:sz w:val="24"/>
          <w:szCs w:val="24"/>
          <w:u w:val="single"/>
        </w:rPr>
        <w:t xml:space="preserve">Για το εκπτωτικό δεκαήμερο: </w:t>
      </w:r>
    </w:p>
    <w:p w:rsidR="00DD410E" w:rsidRPr="00715451" w:rsidRDefault="00DD410E" w:rsidP="00A11A9A">
      <w:pPr>
        <w:spacing w:line="276" w:lineRule="auto"/>
        <w:jc w:val="both"/>
        <w:rPr>
          <w:rFonts w:ascii="Times New Roman" w:hAnsi="Times New Roman" w:cs="Times New Roman"/>
          <w:sz w:val="24"/>
          <w:szCs w:val="24"/>
          <w:lang w:val="el-GR"/>
        </w:rPr>
      </w:pPr>
      <w:r w:rsidRPr="00715451">
        <w:rPr>
          <w:rFonts w:ascii="Times New Roman" w:hAnsi="Times New Roman" w:cs="Times New Roman"/>
          <w:sz w:val="24"/>
          <w:szCs w:val="24"/>
          <w:lang w:val="el-GR"/>
        </w:rPr>
        <w:t xml:space="preserve">Η γενικότερη εικόνα που προκύπτει από τις εκτιμήσεις των Συλλόγων, είναι ότι οι εκπτώσεις το συγκεκριμένο δεκαήμερο </w:t>
      </w:r>
      <w:r w:rsidRPr="00715451">
        <w:rPr>
          <w:rFonts w:ascii="Times New Roman" w:hAnsi="Times New Roman" w:cs="Times New Roman"/>
          <w:b/>
          <w:bCs/>
          <w:sz w:val="24"/>
          <w:szCs w:val="24"/>
          <w:lang w:val="el-GR"/>
        </w:rPr>
        <w:t>δεν βοήθησαν ιδιαίτερα</w:t>
      </w:r>
      <w:r w:rsidRPr="00715451">
        <w:rPr>
          <w:rFonts w:ascii="Times New Roman" w:hAnsi="Times New Roman" w:cs="Times New Roman"/>
          <w:sz w:val="24"/>
          <w:szCs w:val="24"/>
          <w:lang w:val="el-GR"/>
        </w:rPr>
        <w:t xml:space="preserve"> τις μικρές και μεσαίες επιχειρήσεις στο μεγαλύτερο ποσοστό τους, αναφορικά με τα επίπεδα των πωλήσεων. </w:t>
      </w:r>
      <w:r w:rsidRPr="00715451">
        <w:rPr>
          <w:rFonts w:ascii="Times New Roman" w:hAnsi="Times New Roman" w:cs="Times New Roman"/>
          <w:b/>
          <w:bCs/>
          <w:sz w:val="24"/>
          <w:szCs w:val="24"/>
          <w:lang w:val="el-GR"/>
        </w:rPr>
        <w:t xml:space="preserve">Τα αποτελέσματα της έρευνας αμφισβητούν πλέον την παραδοσιακή αντίληψη ότι οι εκπτώσεις λειτουργούν ενισχυτικά στο τζίρο των επιχειρήσεων. </w:t>
      </w:r>
      <w:r w:rsidRPr="00715451">
        <w:rPr>
          <w:rFonts w:ascii="Times New Roman" w:hAnsi="Times New Roman" w:cs="Times New Roman"/>
          <w:sz w:val="24"/>
          <w:szCs w:val="24"/>
          <w:lang w:val="el-GR"/>
        </w:rPr>
        <w:t xml:space="preserve">Λόγω της γενικότερης οικονομικής δυσχέρειας και της έλλειψης ρευστότητας, οι εκπτώσεις φαίνεται ότι πλέον παύουν να αποτελούν από μόνες τους ισχυρό κινητήριο μοχλό για την αύξηση της αγοραστικής κίνησης. </w:t>
      </w:r>
    </w:p>
    <w:p w:rsidR="00DD410E" w:rsidRPr="00715451" w:rsidRDefault="00DD410E" w:rsidP="00A02450">
      <w:pPr>
        <w:pStyle w:val="ListParagraph"/>
        <w:numPr>
          <w:ilvl w:val="0"/>
          <w:numId w:val="4"/>
        </w:numPr>
        <w:spacing w:before="120"/>
        <w:ind w:left="714" w:hanging="357"/>
        <w:jc w:val="both"/>
        <w:rPr>
          <w:rFonts w:ascii="Times New Roman" w:hAnsi="Times New Roman" w:cs="Times New Roman"/>
          <w:sz w:val="24"/>
          <w:szCs w:val="24"/>
        </w:rPr>
      </w:pPr>
      <w:r w:rsidRPr="00715451">
        <w:rPr>
          <w:rFonts w:ascii="Times New Roman" w:hAnsi="Times New Roman" w:cs="Times New Roman"/>
          <w:b/>
          <w:bCs/>
          <w:sz w:val="24"/>
          <w:szCs w:val="24"/>
          <w:u w:val="single"/>
        </w:rPr>
        <w:t>Για την Κυριακή 3 Μαΐου:</w:t>
      </w:r>
      <w:r w:rsidRPr="00715451">
        <w:rPr>
          <w:rFonts w:ascii="Times New Roman" w:hAnsi="Times New Roman" w:cs="Times New Roman"/>
          <w:sz w:val="24"/>
          <w:szCs w:val="24"/>
        </w:rPr>
        <w:t xml:space="preserve"> </w:t>
      </w:r>
    </w:p>
    <w:p w:rsidR="00DD410E" w:rsidRPr="00715451" w:rsidRDefault="00DD410E" w:rsidP="00A11A9A">
      <w:pPr>
        <w:spacing w:line="276" w:lineRule="auto"/>
        <w:jc w:val="both"/>
        <w:rPr>
          <w:rFonts w:ascii="Times New Roman" w:hAnsi="Times New Roman" w:cs="Times New Roman"/>
          <w:b/>
          <w:bCs/>
          <w:sz w:val="24"/>
          <w:szCs w:val="24"/>
          <w:u w:val="single"/>
          <w:lang w:val="el-GR"/>
        </w:rPr>
      </w:pPr>
      <w:r w:rsidRPr="00715451">
        <w:rPr>
          <w:rFonts w:ascii="Times New Roman" w:hAnsi="Times New Roman" w:cs="Times New Roman"/>
          <w:sz w:val="24"/>
          <w:szCs w:val="24"/>
          <w:lang w:val="el-GR"/>
        </w:rPr>
        <w:t xml:space="preserve">Διαπιστώνεται μια εδραιωμένη πλέον αρνητική στάση του επιχειρηματικού κόσμου απέναντι στη λειτουργία των καταστημάτων την Κυριακή, εκτός των εορταστικών περιόδων και της τουριστικής σεζόν στους δημοφιλείς προορισμούς. Ακόμη δε και για όσους επιχειρηματίες εναρμονίζονται με το μέτρο και ανοίγουν, παρά την προσωπική τους διαφωνία, τα οφέλη είναι στην πλειονότητα των περιπτώσεων πενιχρά. Καθώς, </w:t>
      </w:r>
      <w:r w:rsidRPr="00715451">
        <w:rPr>
          <w:rFonts w:ascii="Times New Roman" w:hAnsi="Times New Roman" w:cs="Times New Roman"/>
          <w:b/>
          <w:bCs/>
          <w:sz w:val="24"/>
          <w:szCs w:val="24"/>
          <w:u w:val="single"/>
          <w:lang w:val="el-GR"/>
        </w:rPr>
        <w:t xml:space="preserve">σύμφωνα και με την ποσοτική αποτίμηση του μέτρου σε επίπεδο τζίρου, στις περισσότερες περιπτώσεις όχι μόνο δεν βοηθάει τον εμπορικό κόσμο, αλλά επιδεινώνει την υπάρχουσα βεβαρημένη κατάσταση. </w:t>
      </w:r>
    </w:p>
    <w:p w:rsidR="00DD410E" w:rsidRPr="00715451" w:rsidRDefault="00DD410E" w:rsidP="00A11A9A">
      <w:pPr>
        <w:spacing w:line="276" w:lineRule="auto"/>
        <w:jc w:val="both"/>
        <w:rPr>
          <w:rFonts w:ascii="Times New Roman" w:hAnsi="Times New Roman" w:cs="Times New Roman"/>
          <w:sz w:val="24"/>
          <w:szCs w:val="24"/>
          <w:lang w:val="el-GR"/>
        </w:rPr>
      </w:pPr>
      <w:r w:rsidRPr="00715451">
        <w:rPr>
          <w:rFonts w:ascii="Times New Roman" w:hAnsi="Times New Roman" w:cs="Times New Roman"/>
          <w:sz w:val="24"/>
          <w:szCs w:val="24"/>
          <w:lang w:val="el-GR"/>
        </w:rPr>
        <w:t xml:space="preserve">Αναλυτικότερα, ακολουθεί η παρουσίαση των αποτελεσμάτων της έρευνας σε Εκπροσώπους Εμπορικών Συλλόγων για το εκπτωτικό δεκαήμερο και την λειτουργία των καταστημάτων την Κυριακή 3 Μαΐου, καθώς και της δειγματοληπτικής έρευνας του ΙΝΕΜΥ-ΕΣΕΕ σε αντιπροσωπευτικό δείγμα επιχειρήσεων. </w:t>
      </w:r>
    </w:p>
    <w:p w:rsidR="00DD410E" w:rsidRPr="00715451" w:rsidRDefault="00DD410E" w:rsidP="00073615">
      <w:pPr>
        <w:jc w:val="both"/>
        <w:rPr>
          <w:rFonts w:ascii="Times New Roman" w:hAnsi="Times New Roman" w:cs="Times New Roman"/>
          <w:b/>
          <w:bCs/>
          <w:i/>
          <w:iCs/>
          <w:sz w:val="24"/>
          <w:szCs w:val="24"/>
          <w:lang w:val="el-GR"/>
        </w:rPr>
      </w:pPr>
    </w:p>
    <w:p w:rsidR="00DD410E" w:rsidRPr="00715451" w:rsidRDefault="00DD410E" w:rsidP="00073615">
      <w:pPr>
        <w:jc w:val="center"/>
        <w:rPr>
          <w:rFonts w:ascii="Times New Roman" w:hAnsi="Times New Roman" w:cs="Times New Roman"/>
          <w:b/>
          <w:bCs/>
          <w:i/>
          <w:iCs/>
          <w:sz w:val="24"/>
          <w:szCs w:val="24"/>
          <w:u w:val="single"/>
          <w:lang w:val="el-GR"/>
        </w:rPr>
      </w:pPr>
      <w:r w:rsidRPr="00715451">
        <w:rPr>
          <w:rFonts w:ascii="Times New Roman" w:hAnsi="Times New Roman" w:cs="Times New Roman"/>
          <w:b/>
          <w:bCs/>
          <w:i/>
          <w:iCs/>
          <w:sz w:val="24"/>
          <w:szCs w:val="24"/>
          <w:u w:val="single"/>
          <w:lang w:val="el-GR"/>
        </w:rPr>
        <w:t>ΟΙ ΕΜΠΟΡΙΚΟΙ ΣΥΛΛΟΓΟΙ ΓΙΑ ΤΙΣ ΕΝΔΙΑΜΕΣΕΣ ΕΚΠΤΩΣΕΙΣ ΤΟΥ ΜΑΙΟΥ</w:t>
      </w:r>
    </w:p>
    <w:p w:rsidR="00DD410E" w:rsidRPr="00715451" w:rsidRDefault="00DD410E" w:rsidP="00DA2A01">
      <w:pPr>
        <w:spacing w:line="200" w:lineRule="exact"/>
        <w:rPr>
          <w:rFonts w:ascii="Times New Roman" w:hAnsi="Times New Roman" w:cs="Times New Roman"/>
          <w:sz w:val="24"/>
          <w:szCs w:val="24"/>
          <w:lang w:val="el-GR"/>
        </w:rPr>
      </w:pPr>
    </w:p>
    <w:p w:rsidR="00DD410E" w:rsidRPr="00715451" w:rsidRDefault="00DD410E" w:rsidP="00A5596F">
      <w:pPr>
        <w:spacing w:line="276" w:lineRule="auto"/>
        <w:ind w:left="120" w:right="219"/>
        <w:jc w:val="both"/>
        <w:rPr>
          <w:rFonts w:ascii="Times New Roman" w:hAnsi="Times New Roman" w:cs="Times New Roman"/>
          <w:spacing w:val="-1"/>
          <w:sz w:val="24"/>
          <w:szCs w:val="24"/>
          <w:lang w:val="el-GR"/>
        </w:rPr>
      </w:pPr>
      <w:r w:rsidRPr="00715451">
        <w:rPr>
          <w:rFonts w:ascii="Times New Roman" w:hAnsi="Times New Roman" w:cs="Times New Roman"/>
          <w:spacing w:val="-1"/>
          <w:sz w:val="24"/>
          <w:szCs w:val="24"/>
          <w:lang w:val="el-GR"/>
        </w:rPr>
        <w:t xml:space="preserve">Σύμφωνα με τις εκτιμήσεις των ερωτηθέντων το ύψος των εκπτώσεων στα εμπορικά καταστήματα κατά τη διάρκεια του δεκαημέρου κινήθηκε κατά βάση εντός του εύρους 11-40%. Αναλυτικότερα σχεδόν οι μισοί Εκπρόσωποι εκτιμούν ότι τα καταστήματα πραγματοποίησαν εκπτώσεις της τάξεως του 11-20%, ενώ μικρότερο αλλά σημαντικό τμήμα των Εκπροσώπων (35%) αναφέρει ότι οι εκπτώσεις στην περιοχή τους κινήθηκαν στο 21-40%.  Στο 21-40% εκτιμάται το ποσοστό των εκπτώσεων στα μεγάλα αστικά κέντρα της χώρας και σε μεγάλες τοπικές αγορές της Αττικής. Αναλυτικότερα ακολουθεί πίνακας με τις εκτιμήσεις 60 εκπροσώπων των Εμπορικών Συλλόγων αναφορικά με το ύψος του ποσοστού των εκπτώσεων. </w:t>
      </w:r>
    </w:p>
    <w:p w:rsidR="00DD410E" w:rsidRPr="00715451" w:rsidRDefault="00DD410E" w:rsidP="00A5596F">
      <w:pPr>
        <w:spacing w:line="276" w:lineRule="auto"/>
        <w:ind w:left="120" w:right="219"/>
        <w:jc w:val="both"/>
        <w:rPr>
          <w:rFonts w:ascii="Times New Roman" w:hAnsi="Times New Roman" w:cs="Times New Roman"/>
          <w:spacing w:val="-1"/>
          <w:sz w:val="24"/>
          <w:szCs w:val="24"/>
          <w:lang w:val="el-GR"/>
        </w:rPr>
      </w:pPr>
    </w:p>
    <w:tbl>
      <w:tblPr>
        <w:tblW w:w="8234" w:type="dxa"/>
        <w:tblInd w:w="2" w:type="dxa"/>
        <w:tblLayout w:type="fixed"/>
        <w:tblCellMar>
          <w:left w:w="0" w:type="dxa"/>
          <w:right w:w="0" w:type="dxa"/>
        </w:tblCellMar>
        <w:tblLook w:val="01E0"/>
      </w:tblPr>
      <w:tblGrid>
        <w:gridCol w:w="5028"/>
        <w:gridCol w:w="3206"/>
      </w:tblGrid>
      <w:tr w:rsidR="00DD410E" w:rsidRPr="00A141DB">
        <w:trPr>
          <w:trHeight w:hRule="exact" w:val="863"/>
        </w:trPr>
        <w:tc>
          <w:tcPr>
            <w:tcW w:w="8234" w:type="dxa"/>
            <w:gridSpan w:val="2"/>
            <w:tcBorders>
              <w:top w:val="single" w:sz="4" w:space="0" w:color="000000"/>
              <w:left w:val="single" w:sz="4" w:space="0" w:color="000000"/>
              <w:bottom w:val="single" w:sz="4" w:space="0" w:color="000000"/>
              <w:right w:val="single" w:sz="4" w:space="0" w:color="000000"/>
            </w:tcBorders>
            <w:shd w:val="clear" w:color="auto" w:fill="CCFFFF"/>
          </w:tcPr>
          <w:p w:rsidR="00DD410E" w:rsidRPr="00A141DB" w:rsidRDefault="00DD410E" w:rsidP="00A141DB">
            <w:pPr>
              <w:pStyle w:val="TableParagraph"/>
              <w:spacing w:line="264" w:lineRule="exact"/>
              <w:ind w:left="543"/>
              <w:rPr>
                <w:rFonts w:ascii="Book Antiqua" w:hAnsi="Book Antiqua" w:cs="Book Antiqua"/>
                <w:lang w:val="el-GR"/>
              </w:rPr>
            </w:pPr>
            <w:r w:rsidRPr="00A141DB">
              <w:rPr>
                <w:rFonts w:ascii="Book Antiqua" w:hAnsi="Book Antiqua" w:cs="Book Antiqua"/>
                <w:b/>
                <w:bCs/>
                <w:spacing w:val="-1"/>
                <w:lang w:val="el-GR"/>
              </w:rPr>
              <w:t>Εκ</w:t>
            </w:r>
            <w:r w:rsidRPr="00A141DB">
              <w:rPr>
                <w:rFonts w:ascii="Book Antiqua" w:hAnsi="Book Antiqua" w:cs="Book Antiqua"/>
                <w:b/>
                <w:bCs/>
                <w:lang w:val="el-GR"/>
              </w:rPr>
              <w:t>τ</w:t>
            </w:r>
            <w:r w:rsidRPr="00A141DB">
              <w:rPr>
                <w:rFonts w:ascii="Book Antiqua" w:hAnsi="Book Antiqua" w:cs="Book Antiqua"/>
                <w:b/>
                <w:bCs/>
                <w:spacing w:val="-1"/>
                <w:lang w:val="el-GR"/>
              </w:rPr>
              <w:t>ίμ</w:t>
            </w:r>
            <w:r w:rsidRPr="00A141DB">
              <w:rPr>
                <w:rFonts w:ascii="Book Antiqua" w:hAnsi="Book Antiqua" w:cs="Book Antiqua"/>
                <w:b/>
                <w:bCs/>
                <w:lang w:val="el-GR"/>
              </w:rPr>
              <w:t>η</w:t>
            </w:r>
            <w:r w:rsidRPr="00A141DB">
              <w:rPr>
                <w:rFonts w:ascii="Book Antiqua" w:hAnsi="Book Antiqua" w:cs="Book Antiqua"/>
                <w:b/>
                <w:bCs/>
                <w:spacing w:val="-3"/>
                <w:lang w:val="el-GR"/>
              </w:rPr>
              <w:t>σ</w:t>
            </w:r>
            <w:r w:rsidRPr="00A141DB">
              <w:rPr>
                <w:rFonts w:ascii="Book Antiqua" w:hAnsi="Book Antiqua" w:cs="Book Antiqua"/>
                <w:b/>
                <w:bCs/>
                <w:lang w:val="el-GR"/>
              </w:rPr>
              <w:t xml:space="preserve">η του ποσοστού των εκπτώσεων </w:t>
            </w:r>
            <w:r w:rsidRPr="00A141DB">
              <w:rPr>
                <w:rFonts w:ascii="Book Antiqua" w:hAnsi="Book Antiqua" w:cs="Book Antiqua"/>
                <w:b/>
                <w:bCs/>
                <w:spacing w:val="-2"/>
                <w:lang w:val="el-GR"/>
              </w:rPr>
              <w:t>τ</w:t>
            </w:r>
            <w:r w:rsidRPr="00A141DB">
              <w:rPr>
                <w:rFonts w:ascii="Book Antiqua" w:hAnsi="Book Antiqua" w:cs="Book Antiqua"/>
                <w:b/>
                <w:bCs/>
                <w:lang w:val="el-GR"/>
              </w:rPr>
              <w:t>ην</w:t>
            </w:r>
            <w:r w:rsidRPr="00A141DB">
              <w:rPr>
                <w:rFonts w:ascii="Book Antiqua" w:hAnsi="Book Antiqua" w:cs="Book Antiqua"/>
                <w:b/>
                <w:bCs/>
                <w:spacing w:val="-3"/>
                <w:lang w:val="el-GR"/>
              </w:rPr>
              <w:t xml:space="preserve"> ενδιάμεση </w:t>
            </w:r>
            <w:r w:rsidRPr="00A141DB">
              <w:rPr>
                <w:rFonts w:ascii="Book Antiqua" w:hAnsi="Book Antiqua" w:cs="Book Antiqua"/>
                <w:b/>
                <w:bCs/>
                <w:spacing w:val="-2"/>
                <w:lang w:val="el-GR"/>
              </w:rPr>
              <w:t xml:space="preserve">εκπτωτική περίοδο </w:t>
            </w:r>
            <w:r w:rsidRPr="00A141DB">
              <w:rPr>
                <w:rFonts w:ascii="Book Antiqua" w:hAnsi="Book Antiqua" w:cs="Book Antiqua"/>
                <w:b/>
                <w:bCs/>
                <w:spacing w:val="-1"/>
                <w:lang w:val="el-GR"/>
              </w:rPr>
              <w:t>σ</w:t>
            </w:r>
            <w:r w:rsidRPr="00A141DB">
              <w:rPr>
                <w:rFonts w:ascii="Book Antiqua" w:hAnsi="Book Antiqua" w:cs="Book Antiqua"/>
                <w:b/>
                <w:bCs/>
                <w:lang w:val="el-GR"/>
              </w:rPr>
              <w:t>ε</w:t>
            </w:r>
            <w:r w:rsidRPr="00A141DB">
              <w:rPr>
                <w:rFonts w:ascii="Book Antiqua" w:hAnsi="Book Antiqua" w:cs="Book Antiqua"/>
                <w:b/>
                <w:bCs/>
                <w:spacing w:val="-1"/>
                <w:lang w:val="el-GR"/>
              </w:rPr>
              <w:t xml:space="preserve">  </w:t>
            </w:r>
            <w:r w:rsidRPr="00A141DB">
              <w:rPr>
                <w:rFonts w:ascii="Book Antiqua" w:hAnsi="Book Antiqua" w:cs="Book Antiqua"/>
                <w:b/>
                <w:bCs/>
                <w:lang w:val="el-GR"/>
              </w:rPr>
              <w:t xml:space="preserve">60 </w:t>
            </w:r>
            <w:r w:rsidRPr="00A141DB">
              <w:rPr>
                <w:rFonts w:ascii="Book Antiqua" w:hAnsi="Book Antiqua" w:cs="Book Antiqua"/>
                <w:b/>
                <w:bCs/>
                <w:spacing w:val="-3"/>
                <w:lang w:val="el-GR"/>
              </w:rPr>
              <w:t xml:space="preserve"> </w:t>
            </w:r>
            <w:r w:rsidRPr="00A141DB">
              <w:rPr>
                <w:rFonts w:ascii="Book Antiqua" w:hAnsi="Book Antiqua" w:cs="Book Antiqua"/>
                <w:b/>
                <w:bCs/>
                <w:spacing w:val="1"/>
                <w:lang w:val="el-GR"/>
              </w:rPr>
              <w:t>π</w:t>
            </w:r>
            <w:r w:rsidRPr="00A141DB">
              <w:rPr>
                <w:rFonts w:ascii="Book Antiqua" w:hAnsi="Book Antiqua" w:cs="Book Antiqua"/>
                <w:b/>
                <w:bCs/>
                <w:spacing w:val="-1"/>
                <w:lang w:val="el-GR"/>
              </w:rPr>
              <w:t>εριο</w:t>
            </w:r>
            <w:r w:rsidRPr="00A141DB">
              <w:rPr>
                <w:rFonts w:ascii="Book Antiqua" w:hAnsi="Book Antiqua" w:cs="Book Antiqua"/>
                <w:b/>
                <w:bCs/>
                <w:spacing w:val="-3"/>
                <w:lang w:val="el-GR"/>
              </w:rPr>
              <w:t>χ</w:t>
            </w:r>
            <w:r w:rsidRPr="00A141DB">
              <w:rPr>
                <w:rFonts w:ascii="Book Antiqua" w:hAnsi="Book Antiqua" w:cs="Book Antiqua"/>
                <w:b/>
                <w:bCs/>
                <w:spacing w:val="-1"/>
                <w:lang w:val="el-GR"/>
              </w:rPr>
              <w:t>έ</w:t>
            </w:r>
            <w:r w:rsidRPr="00A141DB">
              <w:rPr>
                <w:rFonts w:ascii="Book Antiqua" w:hAnsi="Book Antiqua" w:cs="Book Antiqua"/>
                <w:b/>
                <w:bCs/>
                <w:lang w:val="el-GR"/>
              </w:rPr>
              <w:t>ς</w:t>
            </w:r>
            <w:r w:rsidRPr="00A141DB">
              <w:rPr>
                <w:rFonts w:ascii="Book Antiqua" w:hAnsi="Book Antiqua" w:cs="Book Antiqua"/>
                <w:b/>
                <w:bCs/>
                <w:spacing w:val="54"/>
                <w:lang w:val="el-GR"/>
              </w:rPr>
              <w:t xml:space="preserve"> </w:t>
            </w:r>
            <w:r w:rsidRPr="00A141DB">
              <w:rPr>
                <w:rFonts w:ascii="Book Antiqua" w:hAnsi="Book Antiqua" w:cs="Book Antiqua"/>
                <w:b/>
                <w:bCs/>
                <w:lang w:val="el-GR"/>
              </w:rPr>
              <w:t>της</w:t>
            </w:r>
            <w:r w:rsidRPr="00A141DB">
              <w:rPr>
                <w:rFonts w:ascii="Book Antiqua" w:hAnsi="Book Antiqua" w:cs="Book Antiqua"/>
                <w:b/>
                <w:bCs/>
                <w:spacing w:val="-1"/>
                <w:lang w:val="el-GR"/>
              </w:rPr>
              <w:t xml:space="preserve"> </w:t>
            </w:r>
            <w:r w:rsidRPr="00A141DB">
              <w:rPr>
                <w:rFonts w:ascii="Book Antiqua" w:hAnsi="Book Antiqua" w:cs="Book Antiqua"/>
                <w:b/>
                <w:bCs/>
                <w:spacing w:val="-3"/>
                <w:lang w:val="el-GR"/>
              </w:rPr>
              <w:t>χ</w:t>
            </w:r>
            <w:r w:rsidRPr="00A141DB">
              <w:rPr>
                <w:rFonts w:ascii="Book Antiqua" w:hAnsi="Book Antiqua" w:cs="Book Antiqua"/>
                <w:b/>
                <w:bCs/>
                <w:lang w:val="el-GR"/>
              </w:rPr>
              <w:t>ώ</w:t>
            </w:r>
            <w:r w:rsidRPr="00A141DB">
              <w:rPr>
                <w:rFonts w:ascii="Book Antiqua" w:hAnsi="Book Antiqua" w:cs="Book Antiqua"/>
                <w:b/>
                <w:bCs/>
                <w:spacing w:val="-1"/>
                <w:lang w:val="el-GR"/>
              </w:rPr>
              <w:t>ρ</w:t>
            </w:r>
            <w:r w:rsidRPr="00A141DB">
              <w:rPr>
                <w:rFonts w:ascii="Book Antiqua" w:hAnsi="Book Antiqua" w:cs="Book Antiqua"/>
                <w:b/>
                <w:bCs/>
                <w:spacing w:val="-2"/>
                <w:lang w:val="el-GR"/>
              </w:rPr>
              <w:t>α</w:t>
            </w:r>
            <w:r w:rsidRPr="00A141DB">
              <w:rPr>
                <w:rFonts w:ascii="Book Antiqua" w:hAnsi="Book Antiqua" w:cs="Book Antiqua"/>
                <w:b/>
                <w:bCs/>
                <w:lang w:val="el-GR"/>
              </w:rPr>
              <w:t xml:space="preserve">ς:  Μάιος </w:t>
            </w:r>
            <w:r w:rsidRPr="00A141DB">
              <w:rPr>
                <w:rFonts w:ascii="Book Antiqua" w:hAnsi="Book Antiqua" w:cs="Book Antiqua"/>
                <w:b/>
                <w:bCs/>
                <w:spacing w:val="-3"/>
                <w:lang w:val="el-GR"/>
              </w:rPr>
              <w:t xml:space="preserve"> </w:t>
            </w:r>
            <w:r w:rsidRPr="00A141DB">
              <w:rPr>
                <w:rFonts w:ascii="Book Antiqua" w:hAnsi="Book Antiqua" w:cs="Book Antiqua"/>
                <w:b/>
                <w:bCs/>
                <w:lang w:val="el-GR"/>
              </w:rPr>
              <w:t>(20</w:t>
            </w:r>
            <w:r w:rsidRPr="00A141DB">
              <w:rPr>
                <w:rFonts w:ascii="Book Antiqua" w:hAnsi="Book Antiqua" w:cs="Book Antiqua"/>
                <w:b/>
                <w:bCs/>
                <w:spacing w:val="-1"/>
                <w:lang w:val="el-GR"/>
              </w:rPr>
              <w:t>1</w:t>
            </w:r>
            <w:r w:rsidRPr="00A141DB">
              <w:rPr>
                <w:rFonts w:ascii="Book Antiqua" w:hAnsi="Book Antiqua" w:cs="Book Antiqua"/>
                <w:b/>
                <w:bCs/>
                <w:lang w:val="el-GR"/>
              </w:rPr>
              <w:t>5)</w:t>
            </w:r>
          </w:p>
        </w:tc>
      </w:tr>
      <w:tr w:rsidR="00DD410E" w:rsidRPr="00A141DB">
        <w:trPr>
          <w:trHeight w:hRule="exact" w:val="634"/>
        </w:trPr>
        <w:tc>
          <w:tcPr>
            <w:tcW w:w="5028" w:type="dxa"/>
            <w:tcBorders>
              <w:top w:val="single" w:sz="4" w:space="0" w:color="000000"/>
              <w:left w:val="single" w:sz="4" w:space="0" w:color="000000"/>
              <w:bottom w:val="single" w:sz="4" w:space="0" w:color="000000"/>
              <w:right w:val="single" w:sz="4" w:space="0" w:color="000000"/>
            </w:tcBorders>
            <w:shd w:val="clear" w:color="auto" w:fill="CCFFFF"/>
          </w:tcPr>
          <w:p w:rsidR="00DD410E" w:rsidRPr="00A141DB" w:rsidRDefault="00DD410E" w:rsidP="00A141DB">
            <w:pPr>
              <w:pStyle w:val="TableParagraph"/>
              <w:spacing w:before="58"/>
              <w:jc w:val="center"/>
              <w:rPr>
                <w:rFonts w:ascii="Book Antiqua" w:hAnsi="Book Antiqua" w:cs="Book Antiqua"/>
                <w:lang w:val="el-GR"/>
              </w:rPr>
            </w:pPr>
            <w:r w:rsidRPr="00A141DB">
              <w:rPr>
                <w:rFonts w:ascii="Book Antiqua" w:hAnsi="Book Antiqua" w:cs="Book Antiqua"/>
                <w:b/>
                <w:bCs/>
                <w:spacing w:val="-1"/>
              </w:rPr>
              <w:t>Περιο</w:t>
            </w:r>
            <w:r w:rsidRPr="00A141DB">
              <w:rPr>
                <w:rFonts w:ascii="Book Antiqua" w:hAnsi="Book Antiqua" w:cs="Book Antiqua"/>
                <w:b/>
                <w:bCs/>
              </w:rPr>
              <w:t>χ</w:t>
            </w:r>
            <w:r w:rsidRPr="00A141DB">
              <w:rPr>
                <w:rFonts w:ascii="Book Antiqua" w:hAnsi="Book Antiqua" w:cs="Book Antiqua"/>
                <w:b/>
                <w:bCs/>
                <w:spacing w:val="-1"/>
                <w:lang w:val="el-GR"/>
              </w:rPr>
              <w:t xml:space="preserve">ή </w:t>
            </w:r>
            <w:r w:rsidRPr="00A141DB">
              <w:rPr>
                <w:rFonts w:ascii="Book Antiqua" w:hAnsi="Book Antiqua" w:cs="Book Antiqua"/>
                <w:b/>
                <w:bCs/>
                <w:spacing w:val="-1"/>
              </w:rPr>
              <w:t xml:space="preserve"> </w:t>
            </w:r>
            <w:r w:rsidRPr="00A141DB">
              <w:rPr>
                <w:rFonts w:ascii="Book Antiqua" w:hAnsi="Book Antiqua" w:cs="Book Antiqua"/>
                <w:b/>
                <w:bCs/>
                <w:spacing w:val="-1"/>
                <w:lang w:val="el-GR"/>
              </w:rPr>
              <w:t xml:space="preserve">Αναφοράς </w:t>
            </w:r>
          </w:p>
        </w:tc>
        <w:tc>
          <w:tcPr>
            <w:tcW w:w="3206" w:type="dxa"/>
            <w:tcBorders>
              <w:top w:val="single" w:sz="4" w:space="0" w:color="000000"/>
              <w:left w:val="single" w:sz="4" w:space="0" w:color="000000"/>
              <w:bottom w:val="single" w:sz="4" w:space="0" w:color="000000"/>
              <w:right w:val="single" w:sz="4" w:space="0" w:color="000000"/>
            </w:tcBorders>
            <w:shd w:val="clear" w:color="auto" w:fill="CCFFFF"/>
          </w:tcPr>
          <w:p w:rsidR="00DD410E" w:rsidRPr="00A141DB" w:rsidRDefault="00DD410E" w:rsidP="00A141DB">
            <w:pPr>
              <w:pStyle w:val="TableParagraph"/>
              <w:spacing w:before="58"/>
              <w:ind w:left="589"/>
              <w:rPr>
                <w:rFonts w:ascii="Book Antiqua" w:hAnsi="Book Antiqua" w:cs="Book Antiqua"/>
                <w:lang w:val="el-GR"/>
              </w:rPr>
            </w:pPr>
            <w:r w:rsidRPr="00A141DB">
              <w:rPr>
                <w:rFonts w:ascii="Book Antiqua" w:hAnsi="Book Antiqua" w:cs="Book Antiqua"/>
                <w:b/>
                <w:bCs/>
              </w:rPr>
              <w:t>%</w:t>
            </w:r>
            <w:r w:rsidRPr="00A141DB">
              <w:rPr>
                <w:rFonts w:ascii="Book Antiqua" w:hAnsi="Book Antiqua" w:cs="Book Antiqua"/>
                <w:b/>
                <w:bCs/>
                <w:lang w:val="el-GR"/>
              </w:rPr>
              <w:t xml:space="preserve"> ΕΚΤΙΜΩΜΕΝΟ </w:t>
            </w:r>
            <w:r w:rsidRPr="00A141DB">
              <w:rPr>
                <w:rFonts w:ascii="Book Antiqua" w:hAnsi="Book Antiqua" w:cs="Book Antiqua"/>
                <w:b/>
                <w:bCs/>
              </w:rPr>
              <w:t xml:space="preserve"> </w:t>
            </w:r>
            <w:r w:rsidRPr="00A141DB">
              <w:rPr>
                <w:rFonts w:ascii="Book Antiqua" w:hAnsi="Book Antiqua" w:cs="Book Antiqua"/>
                <w:b/>
                <w:bCs/>
                <w:lang w:val="el-GR"/>
              </w:rPr>
              <w:t>ΠΟΣΟΣΤΟ ΕΚΤΠΩΣΕΩΝ</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rPr>
            </w:pPr>
            <w:r w:rsidRPr="00A141DB">
              <w:rPr>
                <w:rFonts w:ascii="Times New Roman" w:hAnsi="Times New Roman" w:cs="Times New Roman"/>
                <w:sz w:val="24"/>
                <w:szCs w:val="24"/>
                <w:lang w:val="el-GR"/>
              </w:rPr>
              <w:t>Αθήνα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Θεσσαλονίκη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Πειραιάς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spacing w:before="99"/>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Πάτρα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Καλλιθέα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Περιστέρι</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rPr>
            </w:pPr>
            <w:r w:rsidRPr="00A141DB">
              <w:rPr>
                <w:rFonts w:ascii="Times New Roman" w:hAnsi="Times New Roman" w:cs="Times New Roman"/>
                <w:sz w:val="24"/>
                <w:szCs w:val="24"/>
                <w:lang w:val="el-GR"/>
              </w:rPr>
              <w:t>Μαρούσι</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Χαλάνδρι</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Νέα Ιωνία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Κηφισιά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Γλυφάδα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30-60%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Π.Φάληρο</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Μοσχάτο</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rPr>
            </w:pPr>
            <w:r w:rsidRPr="00A141DB">
              <w:rPr>
                <w:rFonts w:ascii="Times New Roman" w:hAnsi="Times New Roman" w:cs="Times New Roman"/>
                <w:sz w:val="24"/>
                <w:szCs w:val="24"/>
                <w:lang w:val="el-GR"/>
              </w:rPr>
              <w:t>Νίκαια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0-10%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Κερατσίνι-Δραπετσώνα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Αλεξανδρούπολη</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rPr>
            </w:pPr>
            <w:r w:rsidRPr="00A141DB">
              <w:rPr>
                <w:rFonts w:ascii="Times New Roman" w:hAnsi="Times New Roman" w:cs="Times New Roman"/>
                <w:sz w:val="24"/>
                <w:szCs w:val="24"/>
                <w:lang w:val="el-GR"/>
              </w:rPr>
              <w:t>Τρίκαλα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Άργος</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rPr>
            </w:pPr>
            <w:r w:rsidRPr="00A141DB">
              <w:rPr>
                <w:rFonts w:ascii="Times New Roman" w:hAnsi="Times New Roman" w:cs="Times New Roman"/>
                <w:sz w:val="24"/>
                <w:szCs w:val="24"/>
                <w:lang w:val="el-GR"/>
              </w:rPr>
              <w:t>Πύργος</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50% και άνω</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rPr>
            </w:pPr>
            <w:r w:rsidRPr="00A141DB">
              <w:rPr>
                <w:rFonts w:ascii="Times New Roman" w:hAnsi="Times New Roman" w:cs="Times New Roman"/>
                <w:sz w:val="24"/>
                <w:szCs w:val="24"/>
                <w:lang w:val="el-GR"/>
              </w:rPr>
              <w:t>Χανιά</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Ρέθυμνο</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spacing w:before="99"/>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rPr>
            </w:pPr>
            <w:r w:rsidRPr="00A141DB">
              <w:rPr>
                <w:rFonts w:ascii="Times New Roman" w:hAnsi="Times New Roman" w:cs="Times New Roman"/>
                <w:sz w:val="24"/>
                <w:szCs w:val="24"/>
                <w:lang w:val="el-GR"/>
              </w:rPr>
              <w:t>Κομοτηνή</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spacing w:before="99"/>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Ξάνθη</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Χαλκίδα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spacing w:before="99"/>
              <w:ind w:left="102"/>
              <w:rPr>
                <w:rFonts w:ascii="Times New Roman" w:hAnsi="Times New Roman" w:cs="Times New Roman"/>
                <w:sz w:val="24"/>
                <w:szCs w:val="24"/>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Έδεσσα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Άρτα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41-50%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Αγρίνιο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0-10%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Θήβα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41-50%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Κέρκυρα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Ίλιον</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Βέροια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Λαμία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0-10%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Πρέβεζα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Λευκάδα</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Λιβαδειά</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Άγιος Νικόλαος (Κρήτη)</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Δεν πραγματοποίησαν εκπτώσεις (μόνο προσφορές)</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Σέρρες</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Πολύγυρος Χαλκιδικής</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Κατερίνη</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Σύρος</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Καστοριά</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Αίγιο</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0-10%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Ιωάννινα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Ηγουμενίτσα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Δεν πραγματοποίησαν εκπτώσεις </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Καβάλα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Καλαμάτα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Κόρινθος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Σπάρτη</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Τρίπολη</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Καρδίτσα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Λάρισα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Βόλος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Κοζάνη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41-50%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Μεσολόγγι</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Ηράκλειο (Κρήτης)</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Κιλκίς</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21-40%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Ρόδος</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Ζάκυνθος</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 xml:space="preserve">Δράμα </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r w:rsidR="00DD410E" w:rsidRPr="00A141DB">
        <w:trPr>
          <w:trHeight w:val="20"/>
        </w:trPr>
        <w:tc>
          <w:tcPr>
            <w:tcW w:w="5028"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numPr>
                <w:ilvl w:val="0"/>
                <w:numId w:val="1"/>
              </w:numPr>
              <w:rPr>
                <w:rFonts w:ascii="Times New Roman" w:hAnsi="Times New Roman" w:cs="Times New Roman"/>
                <w:sz w:val="24"/>
                <w:szCs w:val="24"/>
                <w:lang w:val="el-GR"/>
              </w:rPr>
            </w:pPr>
            <w:r w:rsidRPr="00A141DB">
              <w:rPr>
                <w:rFonts w:ascii="Times New Roman" w:hAnsi="Times New Roman" w:cs="Times New Roman"/>
                <w:sz w:val="24"/>
                <w:szCs w:val="24"/>
                <w:lang w:val="el-GR"/>
              </w:rPr>
              <w:t>Καρπενήσι</w:t>
            </w:r>
          </w:p>
        </w:tc>
        <w:tc>
          <w:tcPr>
            <w:tcW w:w="3206" w:type="dxa"/>
            <w:tcBorders>
              <w:top w:val="single" w:sz="4" w:space="0" w:color="000000"/>
              <w:left w:val="single" w:sz="4" w:space="0" w:color="000000"/>
              <w:bottom w:val="single" w:sz="4" w:space="0" w:color="000000"/>
              <w:right w:val="single" w:sz="4" w:space="0" w:color="000000"/>
            </w:tcBorders>
          </w:tcPr>
          <w:p w:rsidR="00DD410E" w:rsidRPr="00A141DB" w:rsidRDefault="00DD410E" w:rsidP="00A141DB">
            <w:pPr>
              <w:pStyle w:val="TableParagraph"/>
              <w:ind w:left="102"/>
              <w:rPr>
                <w:rFonts w:ascii="Times New Roman" w:hAnsi="Times New Roman" w:cs="Times New Roman"/>
                <w:sz w:val="24"/>
                <w:szCs w:val="24"/>
                <w:lang w:val="el-GR"/>
              </w:rPr>
            </w:pPr>
            <w:r w:rsidRPr="00A141DB">
              <w:rPr>
                <w:rFonts w:ascii="Times New Roman" w:hAnsi="Times New Roman" w:cs="Times New Roman"/>
                <w:sz w:val="24"/>
                <w:szCs w:val="24"/>
                <w:lang w:val="el-GR"/>
              </w:rPr>
              <w:t>11-20%</w:t>
            </w:r>
          </w:p>
        </w:tc>
      </w:tr>
    </w:tbl>
    <w:p w:rsidR="00DD410E" w:rsidRPr="00EB020B" w:rsidRDefault="00DD410E" w:rsidP="00EB020B">
      <w:pPr>
        <w:spacing w:line="239" w:lineRule="auto"/>
        <w:ind w:left="120" w:right="219"/>
        <w:jc w:val="both"/>
        <w:rPr>
          <w:rFonts w:ascii="Times New Roman" w:hAnsi="Times New Roman" w:cs="Times New Roman"/>
          <w:spacing w:val="-2"/>
          <w:sz w:val="24"/>
          <w:szCs w:val="24"/>
          <w:lang w:val="el-GR"/>
        </w:rPr>
      </w:pPr>
    </w:p>
    <w:p w:rsidR="00DD410E" w:rsidRDefault="00DD410E" w:rsidP="00EB020B">
      <w:pPr>
        <w:spacing w:line="276" w:lineRule="auto"/>
        <w:ind w:left="120" w:right="219"/>
        <w:jc w:val="both"/>
        <w:rPr>
          <w:rFonts w:ascii="Times New Roman" w:hAnsi="Times New Roman" w:cs="Times New Roman"/>
          <w:spacing w:val="-1"/>
          <w:sz w:val="24"/>
          <w:szCs w:val="24"/>
          <w:lang w:val="el-GR"/>
        </w:rPr>
      </w:pPr>
      <w:r w:rsidRPr="00715451">
        <w:rPr>
          <w:rFonts w:ascii="Times New Roman" w:hAnsi="Times New Roman" w:cs="Times New Roman"/>
          <w:spacing w:val="-1"/>
          <w:sz w:val="24"/>
          <w:szCs w:val="24"/>
          <w:lang w:val="el-GR"/>
        </w:rPr>
        <w:t>Σύμφωνα με τις εκτιμήσεις των εκπροσώπων του εμπορικού κόσμου, η εκπτωτική περίοδος του Μαΐου, όσον αφορά τις πωλήσεις των εμπορικών καταστημάτων κινήθηκε σε χαμηλότερα ή στα ίδια επίπεδα σε σύγκριση με την προηγούμενη πριν τις εκπτώσεις περίοδο. Χαρακτηριστικό του κλίματος που επικρατεί στην αγορά είναι ότι μόνο οι 5 στους 60 εκπροσώπους αναφέρουν πως τα εμπορικά καταστήματα της περιοχής τους αύξησαν τις πωλήσεις τους κατά τη  διάρκεια του δεκαημέρου. Το μεγαλύτερο τμήμα των ερωτηθέντων εκτιμούν ότι η μείωση της αγοραστικής κίνησης κινήθηκε στο 11-20%.</w:t>
      </w:r>
    </w:p>
    <w:p w:rsidR="00DD410E" w:rsidRPr="00715451" w:rsidRDefault="00DD410E" w:rsidP="00EB020B">
      <w:pPr>
        <w:spacing w:line="276" w:lineRule="auto"/>
        <w:ind w:left="120" w:right="219"/>
        <w:jc w:val="both"/>
        <w:rPr>
          <w:rFonts w:ascii="Times New Roman" w:hAnsi="Times New Roman" w:cs="Times New Roman"/>
          <w:spacing w:val="-1"/>
          <w:sz w:val="24"/>
          <w:szCs w:val="24"/>
          <w:lang w:val="el-GR"/>
        </w:rPr>
      </w:pPr>
    </w:p>
    <w:p w:rsidR="00DD410E" w:rsidRPr="00715451" w:rsidRDefault="00DD410E">
      <w:pPr>
        <w:rPr>
          <w:rFonts w:ascii="Times New Roman" w:hAnsi="Times New Roman" w:cs="Times New Roman"/>
          <w:sz w:val="24"/>
          <w:szCs w:val="24"/>
          <w:lang w:val="el-GR"/>
        </w:rPr>
      </w:pPr>
    </w:p>
    <w:p w:rsidR="00DD410E" w:rsidRPr="00715451" w:rsidRDefault="00DD410E" w:rsidP="00EB020B">
      <w:pPr>
        <w:spacing w:line="239" w:lineRule="auto"/>
        <w:ind w:left="120" w:right="219"/>
        <w:jc w:val="both"/>
        <w:rPr>
          <w:rFonts w:ascii="Times New Roman" w:hAnsi="Times New Roman" w:cs="Times New Roman"/>
          <w:spacing w:val="-2"/>
          <w:sz w:val="24"/>
          <w:szCs w:val="24"/>
          <w:lang w:val="el-GR"/>
        </w:rPr>
      </w:pPr>
      <w:r w:rsidRPr="00715451">
        <w:rPr>
          <w:rFonts w:ascii="Times New Roman" w:hAnsi="Times New Roman" w:cs="Times New Roman"/>
          <w:spacing w:val="-2"/>
          <w:sz w:val="24"/>
          <w:szCs w:val="24"/>
          <w:lang w:val="el-GR"/>
        </w:rPr>
        <w:t xml:space="preserve">Παρατίθεται πίνακας με τις δηλώσεις των Εμπορικών Συλλόγων αναφορικά με την μεταβολή της αγοραστικής κίνησης κατά τη διάρκεια του εκπτωτικού δεκαημέρου. </w:t>
      </w:r>
    </w:p>
    <w:p w:rsidR="00DD410E" w:rsidRPr="00715451" w:rsidRDefault="00DD410E">
      <w:pPr>
        <w:rPr>
          <w:rFonts w:ascii="Times New Roman" w:hAnsi="Times New Roman" w:cs="Times New Roman"/>
          <w:lang w:val="el-GR"/>
        </w:rPr>
      </w:pPr>
    </w:p>
    <w:p w:rsidR="00DD410E" w:rsidRPr="0053271B" w:rsidRDefault="00DD410E" w:rsidP="007D240D">
      <w:pPr>
        <w:spacing w:before="1" w:line="100" w:lineRule="exact"/>
        <w:rPr>
          <w:sz w:val="10"/>
          <w:szCs w:val="10"/>
          <w:highlight w:val="yellow"/>
          <w:lang w:val="el-GR"/>
        </w:rPr>
      </w:pPr>
    </w:p>
    <w:tbl>
      <w:tblPr>
        <w:tblW w:w="9279" w:type="dxa"/>
        <w:tblInd w:w="-106" w:type="dxa"/>
        <w:tblLook w:val="00A0"/>
      </w:tblPr>
      <w:tblGrid>
        <w:gridCol w:w="5416"/>
        <w:gridCol w:w="3863"/>
      </w:tblGrid>
      <w:tr w:rsidR="00DD410E" w:rsidRPr="00A141DB">
        <w:trPr>
          <w:trHeight w:val="293"/>
        </w:trPr>
        <w:tc>
          <w:tcPr>
            <w:tcW w:w="0" w:type="auto"/>
            <w:gridSpan w:val="2"/>
            <w:tcBorders>
              <w:top w:val="single" w:sz="8" w:space="0" w:color="000000"/>
              <w:left w:val="single" w:sz="8" w:space="0" w:color="000000"/>
              <w:bottom w:val="nil"/>
              <w:right w:val="single" w:sz="8" w:space="0" w:color="000000"/>
            </w:tcBorders>
            <w:shd w:val="clear" w:color="000000" w:fill="CCFFFF"/>
          </w:tcPr>
          <w:p w:rsidR="00DD410E" w:rsidRPr="00444476" w:rsidRDefault="00DD410E" w:rsidP="00A5596F">
            <w:pPr>
              <w:widowControl/>
              <w:jc w:val="center"/>
              <w:rPr>
                <w:rFonts w:ascii="Book Antiqua" w:hAnsi="Book Antiqua" w:cs="Book Antiqua"/>
                <w:b/>
                <w:bCs/>
                <w:color w:val="000000"/>
                <w:lang w:val="el-GR" w:eastAsia="el-GR"/>
              </w:rPr>
            </w:pPr>
            <w:r w:rsidRPr="00444476">
              <w:rPr>
                <w:rFonts w:ascii="Book Antiqua" w:hAnsi="Book Antiqua" w:cs="Book Antiqua"/>
                <w:b/>
                <w:bCs/>
                <w:color w:val="000000"/>
                <w:lang w:val="el-GR" w:eastAsia="el-GR"/>
              </w:rPr>
              <w:t>Εκτίμηση της αγοραστικής κίνησης κατά την περίοδο των ενδιάμεσων</w:t>
            </w:r>
          </w:p>
        </w:tc>
      </w:tr>
      <w:tr w:rsidR="00DD410E" w:rsidRPr="00A141DB">
        <w:trPr>
          <w:trHeight w:hRule="exact" w:val="293"/>
        </w:trPr>
        <w:tc>
          <w:tcPr>
            <w:tcW w:w="0" w:type="auto"/>
            <w:gridSpan w:val="2"/>
            <w:tcBorders>
              <w:top w:val="nil"/>
              <w:left w:val="single" w:sz="8" w:space="0" w:color="000000"/>
              <w:bottom w:val="single" w:sz="8" w:space="0" w:color="000000"/>
              <w:right w:val="single" w:sz="8" w:space="0" w:color="000000"/>
            </w:tcBorders>
            <w:shd w:val="clear" w:color="000000" w:fill="CCFFFF"/>
          </w:tcPr>
          <w:p w:rsidR="00DD410E" w:rsidRPr="00444476" w:rsidRDefault="00DD410E" w:rsidP="00A5596F">
            <w:pPr>
              <w:widowControl/>
              <w:jc w:val="center"/>
              <w:rPr>
                <w:rFonts w:ascii="Book Antiqua" w:hAnsi="Book Antiqua" w:cs="Book Antiqua"/>
                <w:b/>
                <w:bCs/>
                <w:color w:val="000000"/>
                <w:lang w:val="el-GR" w:eastAsia="el-GR"/>
              </w:rPr>
            </w:pPr>
            <w:r w:rsidRPr="00444476">
              <w:rPr>
                <w:rFonts w:ascii="Book Antiqua" w:hAnsi="Book Antiqua" w:cs="Book Antiqua"/>
                <w:b/>
                <w:bCs/>
                <w:color w:val="000000"/>
                <w:lang w:val="el-GR" w:eastAsia="el-GR"/>
              </w:rPr>
              <w:t>εκπτώσεων σε  60 περιοχές της χώρας Μάιος  (2015)</w:t>
            </w:r>
          </w:p>
        </w:tc>
      </w:tr>
      <w:tr w:rsidR="00DD410E" w:rsidRPr="00A141DB">
        <w:trPr>
          <w:trHeight w:val="557"/>
        </w:trPr>
        <w:tc>
          <w:tcPr>
            <w:tcW w:w="0" w:type="auto"/>
            <w:tcBorders>
              <w:top w:val="nil"/>
              <w:left w:val="single" w:sz="8" w:space="0" w:color="000000"/>
              <w:bottom w:val="single" w:sz="8" w:space="0" w:color="000000"/>
              <w:right w:val="single" w:sz="8" w:space="0" w:color="000000"/>
            </w:tcBorders>
            <w:shd w:val="clear" w:color="000000" w:fill="CCFFFF"/>
          </w:tcPr>
          <w:p w:rsidR="00DD410E" w:rsidRPr="00444476" w:rsidRDefault="00DD410E" w:rsidP="006500AD">
            <w:pPr>
              <w:widowControl/>
              <w:jc w:val="center"/>
              <w:rPr>
                <w:rFonts w:ascii="Book Antiqua" w:hAnsi="Book Antiqua" w:cs="Book Antiqua"/>
                <w:b/>
                <w:bCs/>
                <w:color w:val="000000"/>
                <w:lang w:val="el-GR" w:eastAsia="el-GR"/>
              </w:rPr>
            </w:pPr>
            <w:r w:rsidRPr="00444476">
              <w:rPr>
                <w:rFonts w:ascii="Book Antiqua" w:hAnsi="Book Antiqua" w:cs="Book Antiqua"/>
                <w:b/>
                <w:bCs/>
                <w:color w:val="000000"/>
                <w:lang w:eastAsia="el-GR"/>
              </w:rPr>
              <w:t>Περιοχ</w:t>
            </w:r>
            <w:r>
              <w:rPr>
                <w:rFonts w:ascii="Book Antiqua" w:hAnsi="Book Antiqua" w:cs="Book Antiqua"/>
                <w:b/>
                <w:bCs/>
                <w:color w:val="000000"/>
                <w:lang w:val="el-GR" w:eastAsia="el-GR"/>
              </w:rPr>
              <w:t xml:space="preserve">ή Αναφοράς </w:t>
            </w:r>
          </w:p>
        </w:tc>
        <w:tc>
          <w:tcPr>
            <w:tcW w:w="0" w:type="auto"/>
            <w:tcBorders>
              <w:top w:val="nil"/>
              <w:left w:val="nil"/>
              <w:bottom w:val="single" w:sz="8" w:space="0" w:color="000000"/>
              <w:right w:val="single" w:sz="8" w:space="0" w:color="000000"/>
            </w:tcBorders>
            <w:shd w:val="clear" w:color="000000" w:fill="CCFFFF"/>
          </w:tcPr>
          <w:p w:rsidR="00DD410E" w:rsidRPr="00444476" w:rsidRDefault="00DD410E" w:rsidP="00DD410E">
            <w:pPr>
              <w:widowControl/>
              <w:ind w:firstLineChars="400" w:firstLine="31680"/>
              <w:rPr>
                <w:rFonts w:ascii="Book Antiqua" w:hAnsi="Book Antiqua" w:cs="Book Antiqua"/>
                <w:b/>
                <w:bCs/>
                <w:color w:val="000000"/>
                <w:lang w:val="el-GR" w:eastAsia="el-GR"/>
              </w:rPr>
            </w:pPr>
            <w:r w:rsidRPr="00444476">
              <w:rPr>
                <w:rFonts w:ascii="Book Antiqua" w:hAnsi="Book Antiqua" w:cs="Book Antiqua"/>
                <w:b/>
                <w:bCs/>
                <w:color w:val="000000"/>
                <w:lang w:eastAsia="el-GR"/>
              </w:rPr>
              <w:t>% μείωσης/ αύξησης</w:t>
            </w:r>
          </w:p>
        </w:tc>
      </w:tr>
      <w:tr w:rsidR="00DD410E" w:rsidRPr="00A141DB">
        <w:trPr>
          <w:trHeight w:val="547"/>
        </w:trPr>
        <w:tc>
          <w:tcPr>
            <w:tcW w:w="0" w:type="auto"/>
            <w:tcBorders>
              <w:top w:val="nil"/>
              <w:left w:val="single" w:sz="8" w:space="0" w:color="000000"/>
              <w:bottom w:val="single" w:sz="8" w:space="0" w:color="000000"/>
              <w:right w:val="single" w:sz="8" w:space="0" w:color="000000"/>
            </w:tcBorders>
          </w:tcPr>
          <w:p w:rsidR="00DD410E" w:rsidRPr="00715451" w:rsidRDefault="00DD410E" w:rsidP="00715451">
            <w:pPr>
              <w:pStyle w:val="ListParagraph"/>
              <w:numPr>
                <w:ilvl w:val="0"/>
                <w:numId w:val="5"/>
              </w:numPr>
              <w:rPr>
                <w:rFonts w:ascii="Times New Roman" w:hAnsi="Times New Roman" w:cs="Times New Roman"/>
                <w:color w:val="000000"/>
                <w:sz w:val="24"/>
                <w:szCs w:val="24"/>
                <w:lang w:eastAsia="el-GR"/>
              </w:rPr>
            </w:pPr>
            <w:r w:rsidRPr="00715451">
              <w:rPr>
                <w:rFonts w:ascii="Times New Roman" w:hAnsi="Times New Roman" w:cs="Times New Roman"/>
                <w:color w:val="000000"/>
                <w:sz w:val="14"/>
                <w:szCs w:val="14"/>
                <w:lang w:eastAsia="el-GR"/>
              </w:rPr>
              <w:t> </w:t>
            </w:r>
            <w:r w:rsidRPr="00715451">
              <w:rPr>
                <w:rFonts w:ascii="Times New Roman" w:hAnsi="Times New Roman" w:cs="Times New Roman"/>
                <w:color w:val="000000"/>
                <w:sz w:val="24"/>
                <w:szCs w:val="24"/>
                <w:lang w:eastAsia="el-GR"/>
              </w:rPr>
              <w:t>Αθήνα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68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2.</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Θεσσαλονίκη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Μείωση</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3.</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Πειραιάς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4.</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Πάτρα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(-)0-10%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5.</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Καλλιθέα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Μείωση</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6.</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Περιστέρι</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7</w:t>
            </w:r>
            <w:r w:rsidRPr="00444476">
              <w:rPr>
                <w:rFonts w:ascii="Times New Roman" w:hAnsi="Times New Roman" w:cs="Times New Roman"/>
                <w:color w:val="000000"/>
                <w:sz w:val="24"/>
                <w:szCs w:val="24"/>
                <w:lang w:val="el-GR" w:eastAsia="el-GR"/>
              </w:rPr>
              <w:t>.</w:t>
            </w:r>
            <w:r>
              <w:rPr>
                <w:rFonts w:ascii="Times New Roman" w:hAnsi="Times New Roman" w:cs="Times New Roman"/>
                <w:color w:val="000000"/>
                <w:sz w:val="24"/>
                <w:szCs w:val="24"/>
                <w:lang w:val="el-GR" w:eastAsia="el-GR"/>
              </w:rPr>
              <w:t xml:space="preserve">    </w:t>
            </w:r>
            <w:r w:rsidRPr="00444476">
              <w:rPr>
                <w:rFonts w:ascii="Times New Roman" w:hAnsi="Times New Roman" w:cs="Times New Roman"/>
                <w:color w:val="000000"/>
                <w:sz w:val="24"/>
                <w:szCs w:val="24"/>
                <w:lang w:val="el-GR" w:eastAsia="el-GR"/>
              </w:rPr>
              <w:t>Μαρούσι</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8</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w:t>
            </w:r>
            <w:r>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Χαλάνδρι</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9</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Νέα Ιωνία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Μείωση</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val="el-GR" w:eastAsia="el-GR"/>
              </w:rPr>
              <w:t>1</w:t>
            </w:r>
            <w:r>
              <w:rPr>
                <w:rFonts w:ascii="Times New Roman" w:hAnsi="Times New Roman" w:cs="Times New Roman"/>
                <w:color w:val="000000"/>
                <w:sz w:val="24"/>
                <w:szCs w:val="24"/>
                <w:lang w:eastAsia="el-GR"/>
              </w:rPr>
              <w:t>0</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Κηφισιά</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Μείωση</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11</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Γλυφάδα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(-)21-30%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sidRPr="00C526F0">
              <w:rPr>
                <w:rFonts w:ascii="Times New Roman" w:hAnsi="Times New Roman" w:cs="Times New Roman"/>
                <w:color w:val="000000"/>
                <w:sz w:val="24"/>
                <w:szCs w:val="24"/>
                <w:lang w:val="el-GR" w:eastAsia="el-GR"/>
              </w:rPr>
              <w:t>1</w:t>
            </w:r>
            <w:r>
              <w:rPr>
                <w:rFonts w:ascii="Times New Roman" w:hAnsi="Times New Roman" w:cs="Times New Roman"/>
                <w:color w:val="000000"/>
                <w:sz w:val="24"/>
                <w:szCs w:val="24"/>
                <w:lang w:eastAsia="el-GR"/>
              </w:rPr>
              <w:t>2</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Π.Φάληρο</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val="el-GR" w:eastAsia="el-GR"/>
              </w:rPr>
              <w:t>1</w:t>
            </w:r>
            <w:r>
              <w:rPr>
                <w:rFonts w:ascii="Times New Roman" w:hAnsi="Times New Roman" w:cs="Times New Roman"/>
                <w:color w:val="000000"/>
                <w:sz w:val="24"/>
                <w:szCs w:val="24"/>
                <w:lang w:eastAsia="el-GR"/>
              </w:rPr>
              <w:t>3</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Μοσχάτο</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21-30%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val="el-GR" w:eastAsia="el-GR"/>
              </w:rPr>
              <w:t>1</w:t>
            </w:r>
            <w:r>
              <w:rPr>
                <w:rFonts w:ascii="Times New Roman" w:hAnsi="Times New Roman" w:cs="Times New Roman"/>
                <w:color w:val="000000"/>
                <w:sz w:val="24"/>
                <w:szCs w:val="24"/>
                <w:lang w:eastAsia="el-GR"/>
              </w:rPr>
              <w:t>4</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 Νίκαια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val="el-GR" w:eastAsia="el-GR"/>
              </w:rPr>
              <w:t>1</w:t>
            </w:r>
            <w:r>
              <w:rPr>
                <w:rFonts w:ascii="Times New Roman" w:hAnsi="Times New Roman" w:cs="Times New Roman"/>
                <w:color w:val="000000"/>
                <w:sz w:val="24"/>
                <w:szCs w:val="24"/>
                <w:lang w:eastAsia="el-GR"/>
              </w:rPr>
              <w:t>5</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Κερατσίνι-Δραπετσώνα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ΔΓ</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16</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eastAsia="el-GR"/>
              </w:rPr>
              <w:t>  </w:t>
            </w:r>
            <w:r w:rsidRPr="00444476">
              <w:rPr>
                <w:rFonts w:ascii="Times New Roman" w:hAnsi="Times New Roman" w:cs="Times New Roman"/>
                <w:color w:val="000000"/>
                <w:sz w:val="24"/>
                <w:szCs w:val="24"/>
                <w:lang w:val="el-GR" w:eastAsia="el-GR"/>
              </w:rPr>
              <w:t>Αλεξανδρούπολη</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(+)0-10%</w:t>
            </w:r>
          </w:p>
        </w:tc>
      </w:tr>
      <w:tr w:rsidR="00DD410E" w:rsidRPr="00A141DB">
        <w:trPr>
          <w:trHeight w:hRule="exac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w:t>
            </w:r>
            <w:r>
              <w:rPr>
                <w:rFonts w:ascii="Times New Roman" w:hAnsi="Times New Roman" w:cs="Times New Roman"/>
                <w:color w:val="000000"/>
                <w:sz w:val="24"/>
                <w:szCs w:val="24"/>
                <w:lang w:eastAsia="el-GR"/>
              </w:rPr>
              <w:t>7</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w:t>
            </w:r>
            <w:r w:rsidRPr="00444476">
              <w:rPr>
                <w:rFonts w:ascii="Times New Roman" w:hAnsi="Times New Roman" w:cs="Times New Roman"/>
                <w:color w:val="000000"/>
                <w:sz w:val="24"/>
                <w:szCs w:val="24"/>
                <w:lang w:val="el-GR" w:eastAsia="el-GR"/>
              </w:rPr>
              <w:t xml:space="preserve">Έδεσσα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w:t>
            </w:r>
            <w:r>
              <w:rPr>
                <w:rFonts w:ascii="Times New Roman" w:hAnsi="Times New Roman" w:cs="Times New Roman"/>
                <w:color w:val="000000"/>
                <w:sz w:val="24"/>
                <w:szCs w:val="24"/>
                <w:lang w:eastAsia="el-GR"/>
              </w:rPr>
              <w:t>8</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Κομοτηνή</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val="el-GR" w:eastAsia="el-GR"/>
              </w:rPr>
              <w:t>1</w:t>
            </w:r>
            <w:r>
              <w:rPr>
                <w:rFonts w:ascii="Times New Roman" w:hAnsi="Times New Roman" w:cs="Times New Roman"/>
                <w:color w:val="000000"/>
                <w:sz w:val="24"/>
                <w:szCs w:val="24"/>
                <w:lang w:eastAsia="el-GR"/>
              </w:rPr>
              <w:t>9</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Ξάνθη</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20</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Λάρισα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21</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Καβάλα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22</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Κοζάνη</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23</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Κατερίνη</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24</w:t>
            </w:r>
            <w:r w:rsidRPr="00444476">
              <w:rPr>
                <w:rFonts w:ascii="Times New Roman" w:hAnsi="Times New Roman" w:cs="Times New Roman"/>
                <w:color w:val="000000"/>
                <w:sz w:val="24"/>
                <w:szCs w:val="24"/>
                <w:lang w:val="el-GR" w:eastAsia="el-GR"/>
              </w:rPr>
              <w:t>.</w:t>
            </w:r>
            <w:r>
              <w:rPr>
                <w:rFonts w:ascii="Times New Roman" w:hAnsi="Times New Roman" w:cs="Times New Roman"/>
                <w:color w:val="000000"/>
                <w:sz w:val="14"/>
                <w:szCs w:val="14"/>
                <w:lang w:val="el-GR" w:eastAsia="el-GR"/>
              </w:rPr>
              <w:t>  </w:t>
            </w:r>
            <w:r w:rsidRPr="00444476">
              <w:rPr>
                <w:rFonts w:ascii="Times New Roman" w:hAnsi="Times New Roman" w:cs="Times New Roman"/>
                <w:color w:val="000000"/>
                <w:sz w:val="14"/>
                <w:szCs w:val="14"/>
                <w:lang w:val="el-GR" w:eastAsia="el-GR"/>
              </w:rPr>
              <w:t> </w:t>
            </w:r>
            <w:r>
              <w:rPr>
                <w:rFonts w:ascii="Times New Roman" w:hAnsi="Times New Roman" w:cs="Times New Roman"/>
                <w:color w:val="000000"/>
                <w:sz w:val="24"/>
                <w:szCs w:val="24"/>
                <w:lang w:val="el-GR" w:eastAsia="el-GR"/>
              </w:rPr>
              <w:t>Τ</w:t>
            </w:r>
            <w:r w:rsidRPr="00444476">
              <w:rPr>
                <w:rFonts w:ascii="Times New Roman" w:hAnsi="Times New Roman" w:cs="Times New Roman"/>
                <w:color w:val="000000"/>
                <w:sz w:val="24"/>
                <w:szCs w:val="24"/>
                <w:lang w:val="el-GR" w:eastAsia="el-GR"/>
              </w:rPr>
              <w:t xml:space="preserve">ρίκαλα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25</w:t>
            </w:r>
            <w:r w:rsidRPr="00444476">
              <w:rPr>
                <w:rFonts w:ascii="Times New Roman" w:hAnsi="Times New Roman" w:cs="Times New Roman"/>
                <w:color w:val="000000"/>
                <w:sz w:val="24"/>
                <w:szCs w:val="24"/>
                <w:lang w:eastAsia="el-GR"/>
              </w:rPr>
              <w:t>.</w:t>
            </w:r>
            <w:r w:rsidRPr="00444476">
              <w:rPr>
                <w:rFonts w:ascii="Times New Roman" w:hAnsi="Times New Roman" w:cs="Times New Roman"/>
                <w:color w:val="000000"/>
                <w:sz w:val="14"/>
                <w:szCs w:val="14"/>
                <w:lang w:eastAsia="el-GR"/>
              </w:rPr>
              <w:t xml:space="preserve">     </w:t>
            </w:r>
            <w:r w:rsidRPr="00444476">
              <w:rPr>
                <w:rFonts w:ascii="Times New Roman" w:hAnsi="Times New Roman" w:cs="Times New Roman"/>
                <w:color w:val="000000"/>
                <w:sz w:val="24"/>
                <w:szCs w:val="24"/>
                <w:lang w:eastAsia="el-GR"/>
              </w:rPr>
              <w:t>Άργος</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xml:space="preserve">Στα ίδια επίπεδα </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26</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Πύργος</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27</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Χανιά</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28</w:t>
            </w:r>
            <w:r w:rsidRPr="00444476">
              <w:rPr>
                <w:rFonts w:ascii="Times New Roman" w:hAnsi="Times New Roman" w:cs="Times New Roman"/>
                <w:color w:val="000000"/>
                <w:sz w:val="24"/>
                <w:szCs w:val="24"/>
                <w:lang w:eastAsia="el-GR"/>
              </w:rPr>
              <w:t>.</w:t>
            </w:r>
            <w:r w:rsidRPr="00444476">
              <w:rPr>
                <w:rFonts w:ascii="Times New Roman" w:hAnsi="Times New Roman" w:cs="Times New Roman"/>
                <w:color w:val="000000"/>
                <w:sz w:val="14"/>
                <w:szCs w:val="14"/>
                <w:lang w:eastAsia="el-GR"/>
              </w:rPr>
              <w:t xml:space="preserve">  </w:t>
            </w:r>
            <w:r w:rsidRPr="00444476">
              <w:rPr>
                <w:rFonts w:ascii="Times New Roman" w:hAnsi="Times New Roman" w:cs="Times New Roman"/>
                <w:color w:val="000000"/>
                <w:sz w:val="24"/>
                <w:szCs w:val="24"/>
                <w:lang w:eastAsia="el-GR"/>
              </w:rPr>
              <w:t>Ρέθυμνο</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29</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Ηράκλειο (Κρήτης)</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30</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Άγιος Νικόλαος (Κρήτη)</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31</w:t>
            </w:r>
            <w:r w:rsidRPr="00444476">
              <w:rPr>
                <w:rFonts w:ascii="Times New Roman" w:hAnsi="Times New Roman" w:cs="Times New Roman"/>
                <w:color w:val="000000"/>
                <w:sz w:val="24"/>
                <w:szCs w:val="24"/>
                <w:lang w:eastAsia="el-GR"/>
              </w:rPr>
              <w:t>.</w:t>
            </w:r>
            <w:r w:rsidRPr="00444476">
              <w:rPr>
                <w:rFonts w:ascii="Times New Roman" w:hAnsi="Times New Roman" w:cs="Times New Roman"/>
                <w:color w:val="000000"/>
                <w:sz w:val="14"/>
                <w:szCs w:val="14"/>
                <w:lang w:eastAsia="el-GR"/>
              </w:rPr>
              <w:t xml:space="preserve">  </w:t>
            </w:r>
            <w:r w:rsidRPr="00444476">
              <w:rPr>
                <w:rFonts w:ascii="Times New Roman" w:hAnsi="Times New Roman" w:cs="Times New Roman"/>
                <w:color w:val="000000"/>
                <w:sz w:val="24"/>
                <w:szCs w:val="24"/>
                <w:lang w:eastAsia="el-GR"/>
              </w:rPr>
              <w:t>Χαλκίδα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32</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Άρτα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31-40%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3</w:t>
            </w:r>
            <w:r>
              <w:rPr>
                <w:rFonts w:ascii="Times New Roman" w:hAnsi="Times New Roman" w:cs="Times New Roman"/>
                <w:color w:val="000000"/>
                <w:sz w:val="24"/>
                <w:szCs w:val="24"/>
                <w:lang w:eastAsia="el-GR"/>
              </w:rPr>
              <w:t>3</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w:t>
            </w:r>
            <w:r w:rsidRPr="00444476">
              <w:rPr>
                <w:rFonts w:ascii="Times New Roman" w:hAnsi="Times New Roman" w:cs="Times New Roman"/>
                <w:color w:val="000000"/>
                <w:sz w:val="24"/>
                <w:szCs w:val="24"/>
                <w:lang w:val="el-GR" w:eastAsia="el-GR"/>
              </w:rPr>
              <w:t xml:space="preserve">Αγρίνιο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μεγαλύτερη από 41%</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34</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w:t>
            </w:r>
            <w:r w:rsidRPr="00444476">
              <w:rPr>
                <w:rFonts w:ascii="Times New Roman" w:hAnsi="Times New Roman" w:cs="Times New Roman"/>
                <w:color w:val="000000"/>
                <w:sz w:val="24"/>
                <w:szCs w:val="24"/>
                <w:lang w:val="el-GR" w:eastAsia="el-GR"/>
              </w:rPr>
              <w:t xml:space="preserve">Θήβα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35</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Κέρκυρα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(-)0-10%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36</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Ίλιον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μεγαλύτερη από 41%</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37</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Βέροια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38</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Λαμία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μεγαλύτερη από 41%</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39</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Πρέβεζα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40</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Λευκάδα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41</w:t>
            </w:r>
            <w:r w:rsidRPr="00444476">
              <w:rPr>
                <w:rFonts w:ascii="Times New Roman" w:hAnsi="Times New Roman" w:cs="Times New Roman"/>
                <w:color w:val="000000"/>
                <w:sz w:val="24"/>
                <w:szCs w:val="24"/>
                <w:lang w:eastAsia="el-GR"/>
              </w:rPr>
              <w:t>.</w:t>
            </w:r>
            <w:r w:rsidRPr="00444476">
              <w:rPr>
                <w:rFonts w:ascii="Times New Roman" w:hAnsi="Times New Roman" w:cs="Times New Roman"/>
                <w:color w:val="000000"/>
                <w:sz w:val="14"/>
                <w:szCs w:val="14"/>
                <w:lang w:eastAsia="el-GR"/>
              </w:rPr>
              <w:t xml:space="preserve">  </w:t>
            </w:r>
            <w:r w:rsidRPr="00444476">
              <w:rPr>
                <w:rFonts w:ascii="Times New Roman" w:hAnsi="Times New Roman" w:cs="Times New Roman"/>
                <w:color w:val="000000"/>
                <w:sz w:val="24"/>
                <w:szCs w:val="24"/>
                <w:lang w:eastAsia="el-GR"/>
              </w:rPr>
              <w:t>Λιβαδειά</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(-)0-10%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42</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Σέρρες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43</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Πολύγυρος Χαλκιδικής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44</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Σύρος</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45</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Καστοριά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46</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Αίγιο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Μείωση</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47</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Ιωάννινα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val="el-GR" w:eastAsia="el-GR"/>
              </w:rPr>
              <w:t>4</w:t>
            </w:r>
            <w:r>
              <w:rPr>
                <w:rFonts w:ascii="Times New Roman" w:hAnsi="Times New Roman" w:cs="Times New Roman"/>
                <w:color w:val="000000"/>
                <w:sz w:val="24"/>
                <w:szCs w:val="24"/>
                <w:lang w:eastAsia="el-GR"/>
              </w:rPr>
              <w:t>8</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Ηγουμενίτσα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49</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Καλαμάτα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50</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Κόρινθος</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51</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Σπάρτη</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val="el-GR" w:eastAsia="el-GR"/>
              </w:rPr>
              <w:t>52</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Τρίπολη</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 21-30%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val="el-GR" w:eastAsia="el-GR"/>
              </w:rPr>
              <w:t>53</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Καρδίτσα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54</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Βόλος</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(-)11-20%</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55</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Μεσολόγγι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56</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Κιλκίς</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57</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Ρόδος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58</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Ζάκυνθος</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59</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Δράμα</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r w:rsidR="00DD410E" w:rsidRPr="00A141DB">
        <w:trPr>
          <w:trHeight w:val="293"/>
        </w:trPr>
        <w:tc>
          <w:tcPr>
            <w:tcW w:w="0" w:type="auto"/>
            <w:tcBorders>
              <w:top w:val="nil"/>
              <w:left w:val="single" w:sz="8" w:space="0" w:color="000000"/>
              <w:bottom w:val="single" w:sz="8" w:space="0" w:color="000000"/>
              <w:right w:val="single" w:sz="8" w:space="0" w:color="000000"/>
            </w:tcBorders>
          </w:tcPr>
          <w:p w:rsidR="00DD410E" w:rsidRPr="00444476" w:rsidRDefault="00DD410E" w:rsidP="00DD410E">
            <w:pPr>
              <w:widowControl/>
              <w:ind w:firstLineChars="600" w:firstLine="31680"/>
              <w:rPr>
                <w:rFonts w:ascii="Times New Roman" w:hAnsi="Times New Roman" w:cs="Times New Roman"/>
                <w:color w:val="000000"/>
                <w:sz w:val="24"/>
                <w:szCs w:val="24"/>
                <w:lang w:val="el-GR" w:eastAsia="el-GR"/>
              </w:rPr>
            </w:pPr>
            <w:r>
              <w:rPr>
                <w:rFonts w:ascii="Times New Roman" w:hAnsi="Times New Roman" w:cs="Times New Roman"/>
                <w:color w:val="000000"/>
                <w:sz w:val="24"/>
                <w:szCs w:val="24"/>
                <w:lang w:eastAsia="el-GR"/>
              </w:rPr>
              <w:t>60</w:t>
            </w:r>
            <w:r w:rsidRPr="00444476">
              <w:rPr>
                <w:rFonts w:ascii="Times New Roman" w:hAnsi="Times New Roman" w:cs="Times New Roman"/>
                <w:color w:val="000000"/>
                <w:sz w:val="24"/>
                <w:szCs w:val="24"/>
                <w:lang w:val="el-GR" w:eastAsia="el-GR"/>
              </w:rPr>
              <w:t>.</w:t>
            </w:r>
            <w:r w:rsidRPr="00444476">
              <w:rPr>
                <w:rFonts w:ascii="Times New Roman" w:hAnsi="Times New Roman" w:cs="Times New Roman"/>
                <w:color w:val="000000"/>
                <w:sz w:val="14"/>
                <w:szCs w:val="14"/>
                <w:lang w:val="el-GR" w:eastAsia="el-GR"/>
              </w:rPr>
              <w:t xml:space="preserve">  </w:t>
            </w:r>
            <w:r w:rsidRPr="00444476">
              <w:rPr>
                <w:rFonts w:ascii="Times New Roman" w:hAnsi="Times New Roman" w:cs="Times New Roman"/>
                <w:color w:val="000000"/>
                <w:sz w:val="24"/>
                <w:szCs w:val="24"/>
                <w:lang w:val="el-GR" w:eastAsia="el-GR"/>
              </w:rPr>
              <w:t xml:space="preserve">Καρπενήσι </w:t>
            </w:r>
          </w:p>
        </w:tc>
        <w:tc>
          <w:tcPr>
            <w:tcW w:w="0" w:type="auto"/>
            <w:tcBorders>
              <w:top w:val="nil"/>
              <w:left w:val="nil"/>
              <w:bottom w:val="single" w:sz="8" w:space="0" w:color="000000"/>
              <w:right w:val="single" w:sz="8" w:space="0" w:color="000000"/>
            </w:tcBorders>
          </w:tcPr>
          <w:p w:rsidR="00DD410E" w:rsidRPr="00444476" w:rsidRDefault="00DD410E" w:rsidP="006500AD">
            <w:pPr>
              <w:widowControl/>
              <w:rPr>
                <w:rFonts w:ascii="Times New Roman" w:hAnsi="Times New Roman" w:cs="Times New Roman"/>
                <w:color w:val="000000"/>
                <w:sz w:val="24"/>
                <w:szCs w:val="24"/>
                <w:lang w:val="el-GR" w:eastAsia="el-GR"/>
              </w:rPr>
            </w:pPr>
            <w:r w:rsidRPr="00444476">
              <w:rPr>
                <w:rFonts w:ascii="Times New Roman" w:hAnsi="Times New Roman" w:cs="Times New Roman"/>
                <w:color w:val="000000"/>
                <w:sz w:val="24"/>
                <w:szCs w:val="24"/>
                <w:lang w:val="el-GR" w:eastAsia="el-GR"/>
              </w:rPr>
              <w:t>Στα ίδια επίπεδα</w:t>
            </w:r>
          </w:p>
        </w:tc>
      </w:tr>
    </w:tbl>
    <w:p w:rsidR="00DD410E" w:rsidRPr="0053271B" w:rsidRDefault="00DD410E" w:rsidP="007D240D">
      <w:pPr>
        <w:rPr>
          <w:rFonts w:ascii="Times New Roman" w:hAnsi="Times New Roman" w:cs="Times New Roman"/>
          <w:sz w:val="24"/>
          <w:szCs w:val="24"/>
          <w:highlight w:val="yellow"/>
          <w:lang w:val="el-GR"/>
        </w:rPr>
        <w:sectPr w:rsidR="00DD410E" w:rsidRPr="0053271B" w:rsidSect="004640A6">
          <w:footerReference w:type="default" r:id="rId8"/>
          <w:pgSz w:w="11907" w:h="16840"/>
          <w:pgMar w:top="851" w:right="1580" w:bottom="1180" w:left="1680" w:header="0" w:footer="985" w:gutter="0"/>
          <w:cols w:space="720"/>
        </w:sectPr>
      </w:pPr>
    </w:p>
    <w:p w:rsidR="00DD410E" w:rsidRPr="00715451" w:rsidRDefault="00DD410E" w:rsidP="00A5596F">
      <w:pPr>
        <w:jc w:val="both"/>
        <w:rPr>
          <w:rFonts w:ascii="Times New Roman" w:hAnsi="Times New Roman" w:cs="Times New Roman"/>
          <w:b/>
          <w:bCs/>
          <w:i/>
          <w:iCs/>
          <w:sz w:val="24"/>
          <w:szCs w:val="24"/>
          <w:u w:val="single"/>
          <w:lang w:val="el-GR"/>
        </w:rPr>
      </w:pPr>
      <w:r w:rsidRPr="00715451">
        <w:rPr>
          <w:rFonts w:ascii="Times New Roman" w:hAnsi="Times New Roman" w:cs="Times New Roman"/>
          <w:b/>
          <w:bCs/>
          <w:i/>
          <w:iCs/>
          <w:sz w:val="24"/>
          <w:szCs w:val="24"/>
          <w:u w:val="single"/>
          <w:lang w:val="el-GR"/>
        </w:rPr>
        <w:t>ΑΠΟΤΕΛΕΣΜΑΤΑ ΕΡΕΥΝΑΣ ΤΟΥ ΙΝΕΜΥ-ΕΣΕΕ ΓΙΑ ΤΗΝ ΛΕΙΤΟΥΡΓΙΑ ΤΩΝ ΚΑΤΑΣΤΗΜΑΤΩΝ ΤΗΝ ΚΥΡΙΑΚΗ 3 ΜΑΙΟΥ</w:t>
      </w:r>
    </w:p>
    <w:p w:rsidR="00DD410E" w:rsidRPr="00715451" w:rsidRDefault="00DD410E" w:rsidP="005544E4">
      <w:pPr>
        <w:jc w:val="both"/>
        <w:rPr>
          <w:rFonts w:ascii="Times New Roman" w:hAnsi="Times New Roman" w:cs="Times New Roman"/>
          <w:b/>
          <w:bCs/>
          <w:i/>
          <w:iCs/>
          <w:sz w:val="24"/>
          <w:szCs w:val="24"/>
          <w:lang w:val="el-GR"/>
        </w:rPr>
      </w:pPr>
    </w:p>
    <w:p w:rsidR="00DD410E" w:rsidRPr="00715451" w:rsidRDefault="00DD410E" w:rsidP="005544E4">
      <w:pPr>
        <w:jc w:val="both"/>
        <w:rPr>
          <w:rFonts w:ascii="Times New Roman" w:hAnsi="Times New Roman" w:cs="Times New Roman"/>
          <w:sz w:val="24"/>
          <w:szCs w:val="24"/>
          <w:lang w:val="el-GR"/>
        </w:rPr>
      </w:pPr>
      <w:r w:rsidRPr="00715451">
        <w:rPr>
          <w:rFonts w:ascii="Times New Roman" w:hAnsi="Times New Roman" w:cs="Times New Roman"/>
          <w:sz w:val="24"/>
          <w:szCs w:val="24"/>
          <w:lang w:val="el-GR"/>
        </w:rPr>
        <w:t xml:space="preserve">Σύμφωνα με τα αποτελέσματα της έρευνας που διενεργήθηκε σε επιχειρήσεις μεγάλων αστικών κέντρων </w:t>
      </w:r>
      <w:r w:rsidRPr="00715451">
        <w:rPr>
          <w:rFonts w:ascii="Times New Roman" w:hAnsi="Times New Roman" w:cs="Times New Roman"/>
          <w:b/>
          <w:bCs/>
          <w:sz w:val="24"/>
          <w:szCs w:val="24"/>
          <w:u w:val="single"/>
          <w:lang w:val="el-GR"/>
        </w:rPr>
        <w:t>το άνοιγμα των καταστημάτων την Κυριακή 3 Μαΐου δεν επιδρά θετικά στο ύψος των πωλήσεων</w:t>
      </w:r>
      <w:r w:rsidRPr="00715451">
        <w:rPr>
          <w:rFonts w:ascii="Times New Roman" w:hAnsi="Times New Roman" w:cs="Times New Roman"/>
          <w:sz w:val="24"/>
          <w:szCs w:val="24"/>
          <w:lang w:val="el-GR"/>
        </w:rPr>
        <w:t xml:space="preserve">.  Στην πλειονότητα των περιπτώσεων η επιπλέον μέρα που άνοιξαν οι επιχειρήσεις δεν αύξησε τον συνολικό τους τζίρο, καθώς οι δύο στις τρεις, την Κυριακή 3 Μαΐου σημείωσαν τζίρο μικρότερο από τον μέσο τζίρο της προηγούμενης εβδομάδας.  Αν σε αυτό το ποσοστό συνυπολογιστεί το 23% των επιχειρηματιών που δήλωσε ότι την Κυριακή οι  πωλήσεις τους κινήθηκαν στα ίδια επίπεδα με αυτά της προηγούμενης εβδομάδας, καταλήγουμε ότι μόλις </w:t>
      </w:r>
      <w:r w:rsidRPr="00715451">
        <w:rPr>
          <w:rFonts w:ascii="Times New Roman" w:hAnsi="Times New Roman" w:cs="Times New Roman"/>
          <w:b/>
          <w:bCs/>
          <w:sz w:val="24"/>
          <w:szCs w:val="24"/>
          <w:u w:val="single"/>
          <w:lang w:val="el-GR"/>
        </w:rPr>
        <w:t>μία στις δέκα επιχειρήσεις επωφελήθηκε από την επιπλέον μέρα λειτουργίας.</w:t>
      </w:r>
      <w:r w:rsidRPr="00715451">
        <w:rPr>
          <w:rFonts w:ascii="Times New Roman" w:hAnsi="Times New Roman" w:cs="Times New Roman"/>
          <w:sz w:val="24"/>
          <w:szCs w:val="24"/>
          <w:lang w:val="el-GR"/>
        </w:rPr>
        <w:t xml:space="preserve"> </w:t>
      </w:r>
    </w:p>
    <w:p w:rsidR="00DD410E" w:rsidRDefault="00DD410E" w:rsidP="005544E4">
      <w:pPr>
        <w:jc w:val="both"/>
        <w:rPr>
          <w:lang w:val="el-GR"/>
        </w:rPr>
      </w:pPr>
    </w:p>
    <w:p w:rsidR="00DD410E" w:rsidRDefault="00DD410E" w:rsidP="005544E4">
      <w:pPr>
        <w:jc w:val="center"/>
        <w:rPr>
          <w:lang w:val="el-GR"/>
        </w:rPr>
      </w:pPr>
      <w:r w:rsidRPr="00A141DB">
        <w:rPr>
          <w:noProof/>
          <w:lang w:val="el-GR" w:eastAsia="el-GR"/>
        </w:rPr>
        <w:pict>
          <v:shape id="Γράφημα 1" o:spid="_x0000_i1026" type="#_x0000_t75" style="width:427.5pt;height:231.75pt;visibility:visible">
            <v:imagedata r:id="rId9" o:title=""/>
            <o:lock v:ext="edit" aspectratio="f"/>
          </v:shape>
        </w:pict>
      </w:r>
    </w:p>
    <w:p w:rsidR="00DD410E" w:rsidRDefault="00DD410E" w:rsidP="005544E4">
      <w:pPr>
        <w:jc w:val="both"/>
        <w:rPr>
          <w:lang w:val="el-GR"/>
        </w:rPr>
      </w:pPr>
    </w:p>
    <w:p w:rsidR="00DD410E" w:rsidRPr="00715451" w:rsidRDefault="00DD410E" w:rsidP="005544E4">
      <w:pPr>
        <w:jc w:val="both"/>
        <w:rPr>
          <w:rFonts w:ascii="Times New Roman" w:hAnsi="Times New Roman" w:cs="Times New Roman"/>
          <w:sz w:val="24"/>
          <w:szCs w:val="24"/>
          <w:lang w:val="el-GR"/>
        </w:rPr>
      </w:pPr>
      <w:r w:rsidRPr="00715451">
        <w:rPr>
          <w:rFonts w:ascii="Times New Roman" w:hAnsi="Times New Roman" w:cs="Times New Roman"/>
          <w:b/>
          <w:bCs/>
          <w:sz w:val="24"/>
          <w:szCs w:val="24"/>
          <w:u w:val="single"/>
          <w:lang w:val="el-GR"/>
        </w:rPr>
        <w:t>Δυσμενέστερα είναι τα συμπεράσματα για τις μικρές οικογενειακές επιχειρήσεις</w:t>
      </w:r>
      <w:r w:rsidRPr="00715451">
        <w:rPr>
          <w:rFonts w:ascii="Times New Roman" w:hAnsi="Times New Roman" w:cs="Times New Roman"/>
          <w:sz w:val="24"/>
          <w:szCs w:val="24"/>
          <w:lang w:val="el-GR"/>
        </w:rPr>
        <w:t>, αυτές δηλαδή που δεν απασχολούν προσωπικό και ο τζίρος τους το 2014 δεν υπερέβη τις 30.000€. Όπως φαίνεται από τα διαγράμματα που ακολουθούν, καμία από αυτού του τύπου επιχείρηση δεν δήλωσε ότι ο τζίρος την Κυριακή ήταν μεγαλύτερος από τον μέσο τζίρο της προηγούμενης εβδομάδας.  Αντιθέτως, το 14% των επιχειρήσεων που απασχολούν υπαλλήλους καθώς και το 20% αυτών που ο τζίρος τους για το 2014 ήταν μεγαλύτερος των 30.000€, αναφέρει ότι οι πωλήσεις την Κυριακή ανήλθαν σε υψηλότερα επίπεδα από την προηγούμενη εβδομάδα.</w:t>
      </w:r>
    </w:p>
    <w:p w:rsidR="00DD410E" w:rsidRDefault="00DD410E" w:rsidP="005544E4">
      <w:pPr>
        <w:jc w:val="center"/>
        <w:rPr>
          <w:lang w:val="el-GR"/>
        </w:rPr>
      </w:pPr>
      <w:r w:rsidRPr="00A141DB">
        <w:rPr>
          <w:noProof/>
          <w:lang w:val="el-GR" w:eastAsia="el-GR"/>
        </w:rPr>
        <w:pict>
          <v:shape id="Γράφημα 3" o:spid="_x0000_i1027" type="#_x0000_t75" style="width:408.75pt;height:233.25pt;visibility:visible">
            <v:imagedata r:id="rId10" o:title=""/>
            <o:lock v:ext="edit" aspectratio="f"/>
          </v:shape>
        </w:pict>
      </w:r>
    </w:p>
    <w:p w:rsidR="00DD410E" w:rsidRDefault="00DD410E" w:rsidP="005544E4">
      <w:pPr>
        <w:jc w:val="both"/>
        <w:rPr>
          <w:lang w:val="el-GR"/>
        </w:rPr>
      </w:pPr>
    </w:p>
    <w:p w:rsidR="00DD410E" w:rsidRPr="0079583D" w:rsidRDefault="00DD410E" w:rsidP="005544E4">
      <w:pPr>
        <w:jc w:val="center"/>
        <w:rPr>
          <w:lang w:val="el-GR"/>
        </w:rPr>
      </w:pPr>
      <w:r w:rsidRPr="00A141DB">
        <w:rPr>
          <w:noProof/>
          <w:lang w:val="el-GR" w:eastAsia="el-GR"/>
        </w:rPr>
        <w:pict>
          <v:shape id="Γράφημα 4" o:spid="_x0000_i1028" type="#_x0000_t75" style="width:408.75pt;height:222pt;visibility:visible">
            <v:imagedata r:id="rId11" o:title=""/>
            <o:lock v:ext="edit" aspectratio="f"/>
          </v:shape>
        </w:pict>
      </w:r>
    </w:p>
    <w:p w:rsidR="00DD410E" w:rsidRDefault="00DD410E" w:rsidP="005544E4">
      <w:pPr>
        <w:jc w:val="both"/>
        <w:rPr>
          <w:lang w:val="el-GR"/>
        </w:rPr>
      </w:pPr>
    </w:p>
    <w:p w:rsidR="00DD410E" w:rsidRPr="00715451" w:rsidRDefault="00DD410E" w:rsidP="005544E4">
      <w:pPr>
        <w:jc w:val="both"/>
        <w:rPr>
          <w:rFonts w:ascii="Times New Roman" w:hAnsi="Times New Roman" w:cs="Times New Roman"/>
          <w:sz w:val="24"/>
          <w:szCs w:val="24"/>
          <w:lang w:val="el-GR"/>
        </w:rPr>
      </w:pPr>
      <w:r w:rsidRPr="00715451">
        <w:rPr>
          <w:rFonts w:ascii="Times New Roman" w:hAnsi="Times New Roman" w:cs="Times New Roman"/>
          <w:sz w:val="24"/>
          <w:szCs w:val="24"/>
          <w:lang w:val="el-GR"/>
        </w:rPr>
        <w:t xml:space="preserve">Το συμπέρασμα ότι το άνοιγμα των καταστημάτων την Κυριακή 3 Μαΐου δεν επιδρά θετικά στο ύψος των πωλήσεων, επιβεβαιώνεται και από την εκτίμηση των επιχειρηματιών σχετικά με την επίδραση της κυριακάτικης λειτουργίας των καταστημάτων στον συνολικό τζίρο του εκπτωτικού δεκαημέρου.  </w:t>
      </w:r>
      <w:r w:rsidRPr="00715451">
        <w:rPr>
          <w:rFonts w:ascii="Times New Roman" w:hAnsi="Times New Roman" w:cs="Times New Roman"/>
          <w:b/>
          <w:bCs/>
          <w:sz w:val="24"/>
          <w:szCs w:val="24"/>
          <w:u w:val="single"/>
          <w:lang w:val="el-GR"/>
        </w:rPr>
        <w:t>Το 60% περίπου των ερωτώμενων είναι πεπεισμένο ότι η πρακτική του ανοίγματος θα επιφέρει αρνητικά αποτελέσματα, ενώ ένας στους τέσσερις πιστεύει ότι δεν θα επηρεάσει, και μόλις το 15% θεωρεί ότι θα συμβάλει θετικά στον συνολικό τζίρο του δεκαημέρου.</w:t>
      </w:r>
      <w:r w:rsidRPr="00715451">
        <w:rPr>
          <w:rFonts w:ascii="Times New Roman" w:hAnsi="Times New Roman" w:cs="Times New Roman"/>
          <w:sz w:val="24"/>
          <w:szCs w:val="24"/>
          <w:lang w:val="el-GR"/>
        </w:rPr>
        <w:t xml:space="preserve"> </w:t>
      </w:r>
    </w:p>
    <w:p w:rsidR="00DD410E" w:rsidRPr="00715451" w:rsidRDefault="00DD410E" w:rsidP="005544E4">
      <w:pPr>
        <w:jc w:val="both"/>
        <w:rPr>
          <w:rFonts w:ascii="Times New Roman" w:hAnsi="Times New Roman" w:cs="Times New Roman"/>
          <w:sz w:val="24"/>
          <w:szCs w:val="24"/>
          <w:lang w:val="el-GR"/>
        </w:rPr>
      </w:pPr>
    </w:p>
    <w:p w:rsidR="00DD410E" w:rsidRDefault="00DD410E" w:rsidP="005544E4">
      <w:pPr>
        <w:jc w:val="center"/>
        <w:rPr>
          <w:lang w:val="el-GR"/>
        </w:rPr>
      </w:pPr>
      <w:r w:rsidRPr="00A141DB">
        <w:rPr>
          <w:noProof/>
          <w:lang w:val="el-GR" w:eastAsia="el-GR"/>
        </w:rPr>
        <w:pict>
          <v:shape id="Γράφημα 2" o:spid="_x0000_i1029" type="#_x0000_t75" style="width:408.75pt;height:223.5pt;visibility:visible">
            <v:imagedata r:id="rId12" o:title="" cropbottom="-29f"/>
            <o:lock v:ext="edit" aspectratio="f"/>
          </v:shape>
        </w:pict>
      </w:r>
    </w:p>
    <w:p w:rsidR="00DD410E" w:rsidRDefault="00DD410E" w:rsidP="005544E4">
      <w:pPr>
        <w:jc w:val="center"/>
        <w:rPr>
          <w:lang w:val="el-GR"/>
        </w:rPr>
      </w:pPr>
    </w:p>
    <w:p w:rsidR="00DD410E" w:rsidRPr="00715451" w:rsidRDefault="00DD410E" w:rsidP="005544E4">
      <w:pPr>
        <w:jc w:val="both"/>
        <w:rPr>
          <w:rFonts w:ascii="Times New Roman" w:hAnsi="Times New Roman" w:cs="Times New Roman"/>
          <w:sz w:val="24"/>
          <w:szCs w:val="24"/>
          <w:lang w:val="el-GR"/>
        </w:rPr>
      </w:pPr>
      <w:r w:rsidRPr="00715451">
        <w:rPr>
          <w:rFonts w:ascii="Times New Roman" w:hAnsi="Times New Roman" w:cs="Times New Roman"/>
          <w:sz w:val="24"/>
          <w:szCs w:val="24"/>
          <w:lang w:val="el-GR"/>
        </w:rPr>
        <w:t xml:space="preserve">Η εικόνα που διαμορφώνουν οι έμποροι και αποτυπώνεται παραπάνω, έχει ως λογικό επακόλουθο </w:t>
      </w:r>
      <w:r w:rsidRPr="00715451">
        <w:rPr>
          <w:rFonts w:ascii="Times New Roman" w:hAnsi="Times New Roman" w:cs="Times New Roman"/>
          <w:b/>
          <w:bCs/>
          <w:sz w:val="24"/>
          <w:szCs w:val="24"/>
          <w:u w:val="single"/>
          <w:lang w:val="el-GR"/>
        </w:rPr>
        <w:t>η πλειονότητά τους να κρίνει ότι το μέτρο για το άνοιγμα των Κυριακών δεν είναι αποτελεσματικό όσον αφορά την αύξηση των πωλήσεων.</w:t>
      </w:r>
      <w:r w:rsidRPr="00715451">
        <w:rPr>
          <w:rFonts w:ascii="Times New Roman" w:hAnsi="Times New Roman" w:cs="Times New Roman"/>
          <w:sz w:val="24"/>
          <w:szCs w:val="24"/>
          <w:lang w:val="el-GR"/>
        </w:rPr>
        <w:t xml:space="preserve"> Συγκεκριμένα</w:t>
      </w:r>
      <w:r>
        <w:rPr>
          <w:rFonts w:ascii="Times New Roman" w:hAnsi="Times New Roman" w:cs="Times New Roman"/>
          <w:sz w:val="24"/>
          <w:szCs w:val="24"/>
          <w:lang w:val="el-GR"/>
        </w:rPr>
        <w:t>,</w:t>
      </w:r>
      <w:r w:rsidRPr="00715451">
        <w:rPr>
          <w:rFonts w:ascii="Times New Roman" w:hAnsi="Times New Roman" w:cs="Times New Roman"/>
          <w:sz w:val="24"/>
          <w:szCs w:val="24"/>
          <w:lang w:val="el-GR"/>
        </w:rPr>
        <w:t xml:space="preserve"> το 69% δηλώνει ότι δεν αποφέρει κάποιο θετικό αποτέλεσμα, αντιθέτως μόνο το 14% το κρίνει αποτελεσματικό. Να σημειωθεί ότι αποτελεσματικό κρίνουν το μέτρο μόνο επιχειρήσεις με προσωπικό, καθώς και επιχειρήσεις με ετήσιο τζίρο άνω των 30.000€.</w:t>
      </w:r>
    </w:p>
    <w:p w:rsidR="00DD410E" w:rsidRPr="00715451" w:rsidRDefault="00DD410E" w:rsidP="005544E4">
      <w:pPr>
        <w:jc w:val="both"/>
        <w:rPr>
          <w:rFonts w:ascii="Times New Roman" w:hAnsi="Times New Roman" w:cs="Times New Roman"/>
          <w:sz w:val="26"/>
          <w:szCs w:val="26"/>
          <w:lang w:val="el-GR"/>
        </w:rPr>
      </w:pPr>
    </w:p>
    <w:p w:rsidR="00DD410E" w:rsidRDefault="00DD410E" w:rsidP="005544E4">
      <w:pPr>
        <w:jc w:val="center"/>
        <w:rPr>
          <w:lang w:val="el-GR"/>
        </w:rPr>
      </w:pPr>
      <w:r w:rsidRPr="00A141DB">
        <w:rPr>
          <w:noProof/>
          <w:lang w:val="el-GR" w:eastAsia="el-GR"/>
        </w:rPr>
        <w:pict>
          <v:shape id="Γράφημα 5" o:spid="_x0000_i1030" type="#_x0000_t75" style="width:410.25pt;height:217.5pt;visibility:visible">
            <v:imagedata r:id="rId13" o:title=""/>
            <o:lock v:ext="edit" aspectratio="f"/>
          </v:shape>
        </w:pict>
      </w:r>
    </w:p>
    <w:p w:rsidR="00DD410E" w:rsidRDefault="00DD410E" w:rsidP="005544E4">
      <w:pPr>
        <w:jc w:val="center"/>
        <w:rPr>
          <w:lang w:val="el-GR"/>
        </w:rPr>
      </w:pPr>
    </w:p>
    <w:p w:rsidR="00DD410E" w:rsidRDefault="00DD410E" w:rsidP="00A5596F">
      <w:pPr>
        <w:rPr>
          <w:lang w:val="el-GR"/>
        </w:rPr>
      </w:pPr>
    </w:p>
    <w:p w:rsidR="00DD410E" w:rsidRPr="00715451" w:rsidRDefault="00DD410E" w:rsidP="005544E4">
      <w:pPr>
        <w:jc w:val="both"/>
        <w:rPr>
          <w:rFonts w:ascii="Times New Roman" w:hAnsi="Times New Roman" w:cs="Times New Roman"/>
          <w:sz w:val="24"/>
          <w:szCs w:val="24"/>
          <w:lang w:val="el-GR"/>
        </w:rPr>
      </w:pPr>
      <w:r w:rsidRPr="00715451">
        <w:rPr>
          <w:rFonts w:ascii="Times New Roman" w:hAnsi="Times New Roman" w:cs="Times New Roman"/>
          <w:sz w:val="24"/>
          <w:szCs w:val="24"/>
          <w:lang w:val="el-GR"/>
        </w:rPr>
        <w:t>Το ΙΝΕΜΥ-ΕΣΕΕ στο πλαίσιο της έρευνας, ζήτησε τη γνώμη εκπροσώπων των εμπορικών συλλόγων για το άνοιγμα της Κυριακής 3 Μαΐου.</w:t>
      </w:r>
      <w:r>
        <w:rPr>
          <w:rFonts w:ascii="Times New Roman" w:hAnsi="Times New Roman" w:cs="Times New Roman"/>
          <w:sz w:val="24"/>
          <w:szCs w:val="24"/>
          <w:lang w:val="el-GR"/>
        </w:rPr>
        <w:t xml:space="preserve"> </w:t>
      </w:r>
      <w:r w:rsidRPr="00715451">
        <w:rPr>
          <w:rFonts w:ascii="Times New Roman" w:hAnsi="Times New Roman" w:cs="Times New Roman"/>
          <w:sz w:val="24"/>
          <w:szCs w:val="24"/>
          <w:lang w:val="el-GR"/>
        </w:rPr>
        <w:t>Η εικόνα που διαμορφώνεται από τις εκτιμήσεις των εμπορικών συλλόγων είναι ότι τα εμπορικά καταστήματα την Κυριακή 3 Μαΐου κυρίως άνοιξαν:</w:t>
      </w:r>
      <w:r w:rsidRPr="00715451">
        <w:rPr>
          <w:rFonts w:ascii="Times New Roman" w:hAnsi="Times New Roman" w:cs="Times New Roman"/>
          <w:b/>
          <w:bCs/>
          <w:sz w:val="24"/>
          <w:szCs w:val="24"/>
          <w:u w:val="single"/>
          <w:lang w:val="el-GR"/>
        </w:rPr>
        <w:t xml:space="preserve"> σε μεγάλα αστικά κέντρα, σε κεντρικές εμπορικές αγορές της Αττικής,  και σε τουριστικούς προορισμούς της χώρας</w:t>
      </w:r>
      <w:r w:rsidRPr="00715451">
        <w:rPr>
          <w:rFonts w:ascii="Times New Roman" w:hAnsi="Times New Roman" w:cs="Times New Roman"/>
          <w:sz w:val="24"/>
          <w:szCs w:val="24"/>
          <w:lang w:val="el-GR"/>
        </w:rPr>
        <w:t xml:space="preserve">. Επίσης, σε αρκετές εμπορικές αγορές παρέμειναν ανοιχτά κυρίως τα καταστήματα που στεγάζονται στον αμιγώς εμπορικό πυρήνα του κέντρου, ενώ πολύ μικρότερα ήταν τα ποσοστά των ανοιχτών στις περιφερειακές οδούς. Εκτός των μεγάλων πόλεων,  οι εκπρόσωποι των εμπορικών συλλόγων της περιφέρειας, εκτιμούν μικρά ποσοστά ανοιχτών καταστημάτων την Κυριακή 3 Μαΐου, που σε αρκετές περιπτώσεις κυμαίνονται κάτω από το 10%.  </w:t>
      </w:r>
    </w:p>
    <w:p w:rsidR="00DD410E" w:rsidRPr="00715451" w:rsidRDefault="00DD410E" w:rsidP="005544E4">
      <w:pPr>
        <w:jc w:val="both"/>
        <w:rPr>
          <w:rFonts w:ascii="Times New Roman" w:hAnsi="Times New Roman" w:cs="Times New Roman"/>
          <w:sz w:val="24"/>
          <w:szCs w:val="24"/>
          <w:lang w:val="el-GR"/>
        </w:rPr>
      </w:pPr>
    </w:p>
    <w:p w:rsidR="00DD410E" w:rsidRPr="00715451" w:rsidRDefault="00DD410E" w:rsidP="005544E4">
      <w:pPr>
        <w:jc w:val="both"/>
        <w:rPr>
          <w:rFonts w:ascii="Times New Roman" w:hAnsi="Times New Roman" w:cs="Times New Roman"/>
          <w:sz w:val="24"/>
          <w:szCs w:val="24"/>
          <w:lang w:val="el-GR"/>
        </w:rPr>
      </w:pPr>
      <w:r w:rsidRPr="00715451">
        <w:rPr>
          <w:rFonts w:ascii="Times New Roman" w:hAnsi="Times New Roman" w:cs="Times New Roman"/>
          <w:sz w:val="24"/>
          <w:szCs w:val="24"/>
          <w:lang w:val="el-GR"/>
        </w:rPr>
        <w:t xml:space="preserve">Ειδικότερα, οι εκτιμήσεις των εκπροσώπων επιβεβαιώνουν την εικόνα που προκύπτει από την έρευνα στις επιχειρήσεις. Αναλυτικότερα: </w:t>
      </w:r>
    </w:p>
    <w:p w:rsidR="00DD410E" w:rsidRPr="00715451" w:rsidRDefault="00DD410E" w:rsidP="005544E4">
      <w:pPr>
        <w:pStyle w:val="ListParagraph"/>
        <w:numPr>
          <w:ilvl w:val="0"/>
          <w:numId w:val="3"/>
        </w:numPr>
        <w:jc w:val="both"/>
        <w:rPr>
          <w:rFonts w:ascii="Times New Roman" w:hAnsi="Times New Roman" w:cs="Times New Roman"/>
          <w:sz w:val="24"/>
          <w:szCs w:val="24"/>
        </w:rPr>
      </w:pPr>
      <w:r w:rsidRPr="00715451">
        <w:rPr>
          <w:rFonts w:ascii="Times New Roman" w:hAnsi="Times New Roman" w:cs="Times New Roman"/>
          <w:sz w:val="24"/>
          <w:szCs w:val="24"/>
        </w:rPr>
        <w:t>Η γενική κατάσταση που αποτυπώνεται από τους εκπροσώπους συμφωνεί με τα αποτελέσματα της έρευνας στις επιχειρήσεις, αφού η πλειονότητ</w:t>
      </w:r>
      <w:r>
        <w:rPr>
          <w:rFonts w:ascii="Times New Roman" w:hAnsi="Times New Roman" w:cs="Times New Roman"/>
          <w:sz w:val="24"/>
          <w:szCs w:val="24"/>
        </w:rPr>
        <w:t>ά</w:t>
      </w:r>
      <w:r w:rsidRPr="00715451">
        <w:rPr>
          <w:rFonts w:ascii="Times New Roman" w:hAnsi="Times New Roman" w:cs="Times New Roman"/>
          <w:sz w:val="24"/>
          <w:szCs w:val="24"/>
        </w:rPr>
        <w:t xml:space="preserve"> τους δηλώνει ότι την Κυριακή ο τζίρος των καταστημάτων ήταν μικρότερος σε σύγκριση με τον μέσο τζίρο της βδομάδας που προηγήθηκε του εκπτωτικού δεκαημέρου. </w:t>
      </w:r>
    </w:p>
    <w:p w:rsidR="00DD410E" w:rsidRPr="00715451" w:rsidRDefault="00DD410E" w:rsidP="005544E4">
      <w:pPr>
        <w:pStyle w:val="ListParagraph"/>
        <w:numPr>
          <w:ilvl w:val="0"/>
          <w:numId w:val="3"/>
        </w:numPr>
        <w:jc w:val="both"/>
        <w:rPr>
          <w:rFonts w:ascii="Times New Roman" w:hAnsi="Times New Roman" w:cs="Times New Roman"/>
          <w:sz w:val="24"/>
          <w:szCs w:val="24"/>
        </w:rPr>
      </w:pPr>
      <w:r w:rsidRPr="00715451">
        <w:rPr>
          <w:rFonts w:ascii="Times New Roman" w:hAnsi="Times New Roman" w:cs="Times New Roman"/>
          <w:sz w:val="24"/>
          <w:szCs w:val="24"/>
        </w:rPr>
        <w:t xml:space="preserve">Όσον αφορά την επιρροή που ασκεί η λειτουργία των καταστημάτων την Κυριακή, φαίνεται και εδώ ότι, είτε δεν επηρεάζει το συνολικό τζίρο του εκπτωτικού δεκαημέρου, είτε τον  επηρεάζει αρνητικά. </w:t>
      </w:r>
    </w:p>
    <w:p w:rsidR="00DD410E" w:rsidRPr="00715451" w:rsidRDefault="00DD410E" w:rsidP="005544E4">
      <w:pPr>
        <w:pStyle w:val="ListParagraph"/>
        <w:numPr>
          <w:ilvl w:val="0"/>
          <w:numId w:val="3"/>
        </w:numPr>
        <w:jc w:val="both"/>
        <w:rPr>
          <w:rFonts w:ascii="Times New Roman" w:hAnsi="Times New Roman" w:cs="Times New Roman"/>
          <w:sz w:val="24"/>
          <w:szCs w:val="24"/>
        </w:rPr>
      </w:pPr>
      <w:r w:rsidRPr="00715451">
        <w:rPr>
          <w:rFonts w:ascii="Times New Roman" w:hAnsi="Times New Roman" w:cs="Times New Roman"/>
          <w:sz w:val="24"/>
          <w:szCs w:val="24"/>
        </w:rPr>
        <w:t xml:space="preserve">Συνολικά, η πλειονότητα των εκπροσώπων του επιχειρηματικού κόσμου αξιολογεί πολύ αρνητικά την γενική αποτελεσματικότητα του μέτρου των Κυριακών.  </w:t>
      </w: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5544E4">
      <w:pPr>
        <w:ind w:left="426"/>
        <w:jc w:val="both"/>
        <w:rPr>
          <w:rFonts w:ascii="Times New Roman" w:hAnsi="Times New Roman" w:cs="Times New Roman"/>
          <w:sz w:val="24"/>
          <w:szCs w:val="24"/>
          <w:lang w:val="el-GR"/>
        </w:rPr>
      </w:pPr>
    </w:p>
    <w:p w:rsidR="00DD410E" w:rsidRPr="00715451" w:rsidRDefault="00DD410E" w:rsidP="00A5596F">
      <w:pPr>
        <w:jc w:val="both"/>
        <w:rPr>
          <w:rFonts w:ascii="Times New Roman" w:hAnsi="Times New Roman" w:cs="Times New Roman"/>
          <w:sz w:val="24"/>
          <w:szCs w:val="24"/>
          <w:lang w:val="el-GR"/>
        </w:rPr>
      </w:pPr>
    </w:p>
    <w:sectPr w:rsidR="00DD410E" w:rsidRPr="00715451" w:rsidSect="006B463C">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10E" w:rsidRDefault="00DD410E" w:rsidP="00DF3FD7">
      <w:r>
        <w:separator/>
      </w:r>
    </w:p>
  </w:endnote>
  <w:endnote w:type="continuationSeparator" w:id="1">
    <w:p w:rsidR="00DD410E" w:rsidRDefault="00DD410E" w:rsidP="00DF3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Book Antiqua">
    <w:altName w:val="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0E" w:rsidRDefault="00DD410E">
    <w:pPr>
      <w:pStyle w:val="Footer"/>
      <w:jc w:val="right"/>
    </w:pPr>
    <w:fldSimple w:instr=" PAGE   \* MERGEFORMAT ">
      <w:r>
        <w:rPr>
          <w:noProof/>
        </w:rPr>
        <w:t>5</w:t>
      </w:r>
    </w:fldSimple>
  </w:p>
  <w:p w:rsidR="00DD410E" w:rsidRDefault="00DD4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0E" w:rsidRDefault="00DD410E">
    <w:pPr>
      <w:pStyle w:val="Footer"/>
      <w:jc w:val="right"/>
    </w:pPr>
    <w:fldSimple w:instr=" PAGE   \* MERGEFORMAT ">
      <w:r>
        <w:rPr>
          <w:noProof/>
        </w:rPr>
        <w:t>9</w:t>
      </w:r>
    </w:fldSimple>
  </w:p>
  <w:p w:rsidR="00DD410E" w:rsidRDefault="00DD4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10E" w:rsidRDefault="00DD410E" w:rsidP="00DF3FD7">
      <w:r>
        <w:separator/>
      </w:r>
    </w:p>
  </w:footnote>
  <w:footnote w:type="continuationSeparator" w:id="1">
    <w:p w:rsidR="00DD410E" w:rsidRDefault="00DD410E" w:rsidP="00DF3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4D0F"/>
    <w:multiLevelType w:val="hybridMultilevel"/>
    <w:tmpl w:val="118452D2"/>
    <w:lvl w:ilvl="0" w:tplc="EE1C4ED2">
      <w:start w:val="1"/>
      <w:numFmt w:val="decimal"/>
      <w:lvlText w:val="%1."/>
      <w:lvlJc w:val="left"/>
      <w:pPr>
        <w:ind w:left="887" w:hanging="360"/>
      </w:pPr>
      <w:rPr>
        <w:rFonts w:hint="default"/>
      </w:rPr>
    </w:lvl>
    <w:lvl w:ilvl="1" w:tplc="04080019">
      <w:start w:val="1"/>
      <w:numFmt w:val="lowerLetter"/>
      <w:lvlText w:val="%2."/>
      <w:lvlJc w:val="left"/>
      <w:pPr>
        <w:ind w:left="1607" w:hanging="360"/>
      </w:pPr>
    </w:lvl>
    <w:lvl w:ilvl="2" w:tplc="0408001B">
      <w:start w:val="1"/>
      <w:numFmt w:val="lowerRoman"/>
      <w:lvlText w:val="%3."/>
      <w:lvlJc w:val="right"/>
      <w:pPr>
        <w:ind w:left="2327" w:hanging="180"/>
      </w:pPr>
    </w:lvl>
    <w:lvl w:ilvl="3" w:tplc="0408000F">
      <w:start w:val="1"/>
      <w:numFmt w:val="decimal"/>
      <w:lvlText w:val="%4."/>
      <w:lvlJc w:val="left"/>
      <w:pPr>
        <w:ind w:left="3047" w:hanging="360"/>
      </w:pPr>
    </w:lvl>
    <w:lvl w:ilvl="4" w:tplc="04080019">
      <w:start w:val="1"/>
      <w:numFmt w:val="lowerLetter"/>
      <w:lvlText w:val="%5."/>
      <w:lvlJc w:val="left"/>
      <w:pPr>
        <w:ind w:left="3767" w:hanging="360"/>
      </w:pPr>
    </w:lvl>
    <w:lvl w:ilvl="5" w:tplc="0408001B">
      <w:start w:val="1"/>
      <w:numFmt w:val="lowerRoman"/>
      <w:lvlText w:val="%6."/>
      <w:lvlJc w:val="right"/>
      <w:pPr>
        <w:ind w:left="4487" w:hanging="180"/>
      </w:pPr>
    </w:lvl>
    <w:lvl w:ilvl="6" w:tplc="0408000F">
      <w:start w:val="1"/>
      <w:numFmt w:val="decimal"/>
      <w:lvlText w:val="%7."/>
      <w:lvlJc w:val="left"/>
      <w:pPr>
        <w:ind w:left="5207" w:hanging="360"/>
      </w:pPr>
    </w:lvl>
    <w:lvl w:ilvl="7" w:tplc="04080019">
      <w:start w:val="1"/>
      <w:numFmt w:val="lowerLetter"/>
      <w:lvlText w:val="%8."/>
      <w:lvlJc w:val="left"/>
      <w:pPr>
        <w:ind w:left="5927" w:hanging="360"/>
      </w:pPr>
    </w:lvl>
    <w:lvl w:ilvl="8" w:tplc="0408001B">
      <w:start w:val="1"/>
      <w:numFmt w:val="lowerRoman"/>
      <w:lvlText w:val="%9."/>
      <w:lvlJc w:val="right"/>
      <w:pPr>
        <w:ind w:left="6647" w:hanging="180"/>
      </w:pPr>
    </w:lvl>
  </w:abstractNum>
  <w:abstractNum w:abstractNumId="1">
    <w:nsid w:val="2AC21C95"/>
    <w:multiLevelType w:val="hybridMultilevel"/>
    <w:tmpl w:val="F8C8AB60"/>
    <w:lvl w:ilvl="0" w:tplc="46A0F722">
      <w:start w:val="1"/>
      <w:numFmt w:val="decimal"/>
      <w:lvlText w:val="%1."/>
      <w:lvlJc w:val="left"/>
      <w:pPr>
        <w:ind w:left="887" w:hanging="360"/>
      </w:pPr>
      <w:rPr>
        <w:rFonts w:hint="default"/>
      </w:rPr>
    </w:lvl>
    <w:lvl w:ilvl="1" w:tplc="04080019">
      <w:start w:val="1"/>
      <w:numFmt w:val="lowerLetter"/>
      <w:lvlText w:val="%2."/>
      <w:lvlJc w:val="left"/>
      <w:pPr>
        <w:ind w:left="1607" w:hanging="360"/>
      </w:pPr>
    </w:lvl>
    <w:lvl w:ilvl="2" w:tplc="0408001B">
      <w:start w:val="1"/>
      <w:numFmt w:val="lowerRoman"/>
      <w:lvlText w:val="%3."/>
      <w:lvlJc w:val="right"/>
      <w:pPr>
        <w:ind w:left="2327" w:hanging="180"/>
      </w:pPr>
    </w:lvl>
    <w:lvl w:ilvl="3" w:tplc="0408000F">
      <w:start w:val="1"/>
      <w:numFmt w:val="decimal"/>
      <w:lvlText w:val="%4."/>
      <w:lvlJc w:val="left"/>
      <w:pPr>
        <w:ind w:left="3047" w:hanging="360"/>
      </w:pPr>
    </w:lvl>
    <w:lvl w:ilvl="4" w:tplc="04080019">
      <w:start w:val="1"/>
      <w:numFmt w:val="lowerLetter"/>
      <w:lvlText w:val="%5."/>
      <w:lvlJc w:val="left"/>
      <w:pPr>
        <w:ind w:left="3767" w:hanging="360"/>
      </w:pPr>
    </w:lvl>
    <w:lvl w:ilvl="5" w:tplc="0408001B">
      <w:start w:val="1"/>
      <w:numFmt w:val="lowerRoman"/>
      <w:lvlText w:val="%6."/>
      <w:lvlJc w:val="right"/>
      <w:pPr>
        <w:ind w:left="4487" w:hanging="180"/>
      </w:pPr>
    </w:lvl>
    <w:lvl w:ilvl="6" w:tplc="0408000F">
      <w:start w:val="1"/>
      <w:numFmt w:val="decimal"/>
      <w:lvlText w:val="%7."/>
      <w:lvlJc w:val="left"/>
      <w:pPr>
        <w:ind w:left="5207" w:hanging="360"/>
      </w:pPr>
    </w:lvl>
    <w:lvl w:ilvl="7" w:tplc="04080019">
      <w:start w:val="1"/>
      <w:numFmt w:val="lowerLetter"/>
      <w:lvlText w:val="%8."/>
      <w:lvlJc w:val="left"/>
      <w:pPr>
        <w:ind w:left="5927" w:hanging="360"/>
      </w:pPr>
    </w:lvl>
    <w:lvl w:ilvl="8" w:tplc="0408001B">
      <w:start w:val="1"/>
      <w:numFmt w:val="lowerRoman"/>
      <w:lvlText w:val="%9."/>
      <w:lvlJc w:val="right"/>
      <w:pPr>
        <w:ind w:left="6647" w:hanging="180"/>
      </w:pPr>
    </w:lvl>
  </w:abstractNum>
  <w:abstractNum w:abstractNumId="2">
    <w:nsid w:val="2E095499"/>
    <w:multiLevelType w:val="hybridMultilevel"/>
    <w:tmpl w:val="83EA261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55A55E7E"/>
    <w:multiLevelType w:val="hybridMultilevel"/>
    <w:tmpl w:val="A880CE0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6D633740"/>
    <w:multiLevelType w:val="hybridMultilevel"/>
    <w:tmpl w:val="91E23306"/>
    <w:lvl w:ilvl="0" w:tplc="82F80A54">
      <w:start w:val="1"/>
      <w:numFmt w:val="decimal"/>
      <w:lvlText w:val="%1."/>
      <w:lvlJc w:val="left"/>
      <w:pPr>
        <w:ind w:left="1800" w:hanging="360"/>
      </w:pPr>
      <w:rPr>
        <w:rFonts w:hint="default"/>
      </w:r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A01"/>
    <w:rsid w:val="00060069"/>
    <w:rsid w:val="00073615"/>
    <w:rsid w:val="000915AB"/>
    <w:rsid w:val="000B53F2"/>
    <w:rsid w:val="000F69AF"/>
    <w:rsid w:val="00126576"/>
    <w:rsid w:val="00187BA9"/>
    <w:rsid w:val="001938F0"/>
    <w:rsid w:val="001F3B77"/>
    <w:rsid w:val="00202078"/>
    <w:rsid w:val="00274A6C"/>
    <w:rsid w:val="002A599B"/>
    <w:rsid w:val="002E272A"/>
    <w:rsid w:val="002F46C5"/>
    <w:rsid w:val="003D5F0B"/>
    <w:rsid w:val="003E0794"/>
    <w:rsid w:val="003E460F"/>
    <w:rsid w:val="004353BA"/>
    <w:rsid w:val="00437CF8"/>
    <w:rsid w:val="00444476"/>
    <w:rsid w:val="004640A6"/>
    <w:rsid w:val="00471FED"/>
    <w:rsid w:val="004C3CAD"/>
    <w:rsid w:val="004C7156"/>
    <w:rsid w:val="004D3BD3"/>
    <w:rsid w:val="0053271B"/>
    <w:rsid w:val="0054137D"/>
    <w:rsid w:val="005415E9"/>
    <w:rsid w:val="005544E4"/>
    <w:rsid w:val="005A1294"/>
    <w:rsid w:val="005A7EFB"/>
    <w:rsid w:val="005C3C36"/>
    <w:rsid w:val="005E3B61"/>
    <w:rsid w:val="006032E7"/>
    <w:rsid w:val="0062376B"/>
    <w:rsid w:val="00646F24"/>
    <w:rsid w:val="006500AD"/>
    <w:rsid w:val="00661DC8"/>
    <w:rsid w:val="00665385"/>
    <w:rsid w:val="006A44E3"/>
    <w:rsid w:val="006B463C"/>
    <w:rsid w:val="00715451"/>
    <w:rsid w:val="00734A92"/>
    <w:rsid w:val="00752BD6"/>
    <w:rsid w:val="0079583D"/>
    <w:rsid w:val="007D240D"/>
    <w:rsid w:val="00804141"/>
    <w:rsid w:val="00877F0F"/>
    <w:rsid w:val="00896D91"/>
    <w:rsid w:val="008B21B7"/>
    <w:rsid w:val="008C1CDD"/>
    <w:rsid w:val="0095257D"/>
    <w:rsid w:val="0099070E"/>
    <w:rsid w:val="009B0A8E"/>
    <w:rsid w:val="009D6AC0"/>
    <w:rsid w:val="009D6F0A"/>
    <w:rsid w:val="00A02450"/>
    <w:rsid w:val="00A11A9A"/>
    <w:rsid w:val="00A141DB"/>
    <w:rsid w:val="00A34762"/>
    <w:rsid w:val="00A45F06"/>
    <w:rsid w:val="00A5596F"/>
    <w:rsid w:val="00B01F93"/>
    <w:rsid w:val="00B028C5"/>
    <w:rsid w:val="00B561E6"/>
    <w:rsid w:val="00B579C6"/>
    <w:rsid w:val="00BC1514"/>
    <w:rsid w:val="00C34B61"/>
    <w:rsid w:val="00C526F0"/>
    <w:rsid w:val="00C67EA9"/>
    <w:rsid w:val="00D11B94"/>
    <w:rsid w:val="00D603F8"/>
    <w:rsid w:val="00D84149"/>
    <w:rsid w:val="00DA2A01"/>
    <w:rsid w:val="00DC7B33"/>
    <w:rsid w:val="00DD410E"/>
    <w:rsid w:val="00DF3FD7"/>
    <w:rsid w:val="00E71FFE"/>
    <w:rsid w:val="00EA3173"/>
    <w:rsid w:val="00EA3297"/>
    <w:rsid w:val="00EB020B"/>
    <w:rsid w:val="00ED424F"/>
    <w:rsid w:val="00F710B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01"/>
    <w:pPr>
      <w:widowControl w:val="0"/>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DA2A01"/>
    <w:pPr>
      <w:widowControl w:val="0"/>
    </w:pPr>
    <w:rPr>
      <w:rFonts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DA2A01"/>
  </w:style>
  <w:style w:type="paragraph" w:customStyle="1" w:styleId="Heading21">
    <w:name w:val="Heading 21"/>
    <w:basedOn w:val="Normal"/>
    <w:uiPriority w:val="99"/>
    <w:rsid w:val="00DA2A01"/>
    <w:pPr>
      <w:spacing w:before="69"/>
      <w:outlineLvl w:val="2"/>
    </w:pPr>
    <w:rPr>
      <w:b/>
      <w:bCs/>
      <w:sz w:val="24"/>
      <w:szCs w:val="24"/>
    </w:rPr>
  </w:style>
  <w:style w:type="paragraph" w:styleId="BodyText">
    <w:name w:val="Body Text"/>
    <w:basedOn w:val="Normal"/>
    <w:link w:val="BodyTextChar"/>
    <w:uiPriority w:val="99"/>
    <w:rsid w:val="009D6F0A"/>
    <w:pPr>
      <w:ind w:left="12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99"/>
    <w:locked/>
    <w:rsid w:val="009D6F0A"/>
    <w:rPr>
      <w:rFonts w:ascii="Times New Roman" w:hAnsi="Times New Roman" w:cs="Times New Roman"/>
      <w:sz w:val="23"/>
      <w:szCs w:val="23"/>
      <w:lang w:val="en-US"/>
    </w:rPr>
  </w:style>
  <w:style w:type="paragraph" w:styleId="Header">
    <w:name w:val="header"/>
    <w:basedOn w:val="Normal"/>
    <w:link w:val="HeaderChar"/>
    <w:uiPriority w:val="99"/>
    <w:semiHidden/>
    <w:rsid w:val="00DF3FD7"/>
    <w:pPr>
      <w:tabs>
        <w:tab w:val="center" w:pos="4153"/>
        <w:tab w:val="right" w:pos="8306"/>
      </w:tabs>
    </w:pPr>
  </w:style>
  <w:style w:type="character" w:customStyle="1" w:styleId="HeaderChar">
    <w:name w:val="Header Char"/>
    <w:basedOn w:val="DefaultParagraphFont"/>
    <w:link w:val="Header"/>
    <w:uiPriority w:val="99"/>
    <w:semiHidden/>
    <w:locked/>
    <w:rsid w:val="00DF3FD7"/>
    <w:rPr>
      <w:lang w:val="en-US"/>
    </w:rPr>
  </w:style>
  <w:style w:type="paragraph" w:styleId="Footer">
    <w:name w:val="footer"/>
    <w:basedOn w:val="Normal"/>
    <w:link w:val="FooterChar"/>
    <w:uiPriority w:val="99"/>
    <w:rsid w:val="00DF3FD7"/>
    <w:pPr>
      <w:tabs>
        <w:tab w:val="center" w:pos="4153"/>
        <w:tab w:val="right" w:pos="8306"/>
      </w:tabs>
    </w:pPr>
  </w:style>
  <w:style w:type="character" w:customStyle="1" w:styleId="FooterChar">
    <w:name w:val="Footer Char"/>
    <w:basedOn w:val="DefaultParagraphFont"/>
    <w:link w:val="Footer"/>
    <w:uiPriority w:val="99"/>
    <w:locked/>
    <w:rsid w:val="00DF3FD7"/>
    <w:rPr>
      <w:lang w:val="en-US"/>
    </w:rPr>
  </w:style>
  <w:style w:type="paragraph" w:styleId="ListParagraph">
    <w:name w:val="List Paragraph"/>
    <w:basedOn w:val="Normal"/>
    <w:uiPriority w:val="99"/>
    <w:qFormat/>
    <w:rsid w:val="005544E4"/>
    <w:pPr>
      <w:widowControl/>
      <w:spacing w:after="200" w:line="276" w:lineRule="auto"/>
      <w:ind w:left="720"/>
    </w:pPr>
    <w:rPr>
      <w:lang w:val="el-GR"/>
    </w:rPr>
  </w:style>
  <w:style w:type="paragraph" w:styleId="BalloonText">
    <w:name w:val="Balloon Text"/>
    <w:basedOn w:val="Normal"/>
    <w:link w:val="BalloonTextChar"/>
    <w:uiPriority w:val="99"/>
    <w:semiHidden/>
    <w:rsid w:val="00D60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3F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1720</Words>
  <Characters>9288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fprovi</dc:creator>
  <cp:keywords/>
  <dc:description/>
  <cp:lastModifiedBy>nypofantis</cp:lastModifiedBy>
  <cp:revision>2</cp:revision>
  <dcterms:created xsi:type="dcterms:W3CDTF">2015-05-13T08:07:00Z</dcterms:created>
  <dcterms:modified xsi:type="dcterms:W3CDTF">2015-05-13T08:07:00Z</dcterms:modified>
</cp:coreProperties>
</file>